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Spec="center" w:tblpY="1"/>
        <w:tblOverlap w:val="never"/>
        <w:tblW w:w="101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1324"/>
        <w:gridCol w:w="1324"/>
        <w:gridCol w:w="1324"/>
        <w:gridCol w:w="1324"/>
        <w:gridCol w:w="1324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116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支付业务预留印鉴备案表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1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264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610100 西安市 </w:t>
            </w:r>
          </w:p>
        </w:tc>
        <w:tc>
          <w:tcPr>
            <w:tcW w:w="264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其他地区</w:t>
            </w:r>
          </w:p>
        </w:tc>
        <w:tc>
          <w:tcPr>
            <w:tcW w:w="2648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财政零余额账户</w:t>
            </w: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□工商银行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□农业银行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□中国银行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□建设银行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□交通银行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□招商银行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□中信银行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□光大银行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□浦发银行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□民生银行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□华夏银行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□广发银行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□平安银行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□兴业银行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□邮储银行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□渤海银行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□浙商银行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□秦农银行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□西安银行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□长安银行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□北京银行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□恒丰银行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□陕西信用合作社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□齐商银行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□其他银行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电子公章名称</w:t>
            </w:r>
          </w:p>
        </w:tc>
        <w:tc>
          <w:tcPr>
            <w:tcW w:w="79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电子公章使用人</w:t>
            </w: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电子公章使用人</w:t>
            </w: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电子公章</w:t>
            </w:r>
            <w:bookmarkStart w:id="0" w:name="_GoBack"/>
            <w:bookmarkEnd w:id="0"/>
            <w:r>
              <w:rPr>
                <w:rFonts w:hint="eastAsia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UKEY编号</w:t>
            </w:r>
          </w:p>
        </w:tc>
        <w:tc>
          <w:tcPr>
            <w:tcW w:w="79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电子私章名称</w:t>
            </w:r>
          </w:p>
        </w:tc>
        <w:tc>
          <w:tcPr>
            <w:tcW w:w="79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电子私章使用人</w:t>
            </w: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电子私章使用人</w:t>
            </w: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电子私章使用人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UKEY编号</w:t>
            </w:r>
          </w:p>
        </w:tc>
        <w:tc>
          <w:tcPr>
            <w:tcW w:w="79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印章样式</w:t>
            </w:r>
            <w:r>
              <w:rPr>
                <w:rStyle w:val="5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（下框内加盖红色实物印章）</w:t>
            </w:r>
          </w:p>
        </w:tc>
        <w:tc>
          <w:tcPr>
            <w:tcW w:w="5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印章样式</w:t>
            </w:r>
            <w:r>
              <w:rPr>
                <w:rStyle w:val="5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（下框内加盖红色实物印章）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  <w:jc w:val="center"/>
        </w:trPr>
        <w:tc>
          <w:tcPr>
            <w:tcW w:w="4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11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备注：根据《中华人民共和国电子签名法》《国务院关于国家行政机关和企业事业单位社会团体印章管理的规定》《国务院关于在线政务服务的若干规定》《全国一体化在线政务服务平台电子印章管理办法（试行）》《陕西省政务电子印章管理办法（试行）》《西安市政务电子印章管理办法（试行）》规定要求：政务电子印章与实物印章具有同等法律效力，按照“谁使用、谁申请、谁负责”的原则，各使用申请单位应依法依规使用政务电子印章，并加强政务电子印章使用的全过程管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B6795"/>
    <w:rsid w:val="1D671025"/>
    <w:rsid w:val="1E637ED8"/>
    <w:rsid w:val="276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character" w:customStyle="1" w:styleId="5">
    <w:name w:val="font91"/>
    <w:basedOn w:val="4"/>
    <w:qFormat/>
    <w:uiPriority w:val="0"/>
    <w:rPr>
      <w:rFonts w:ascii="Calibri" w:hAnsi="Calibri" w:cs="Calibri"/>
      <w:b/>
      <w:bCs/>
      <w:color w:val="000000"/>
      <w:sz w:val="24"/>
      <w:szCs w:val="24"/>
      <w:u w:val="none"/>
    </w:rPr>
  </w:style>
  <w:style w:type="character" w:customStyle="1" w:styleId="6">
    <w:name w:val="font1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2023-08-24T03:58:00Z</dcterms:created>
  <dc:creator>君言君语</dc:creator>
  <cp:lastModifiedBy>君言君语</cp:lastModifiedBy>
  <dcterms:modified xsi:type="dcterms:W3CDTF">2023-09-12T09:17:37Z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