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52"/>
          <w:szCs w:val="52"/>
        </w:rPr>
      </w:pPr>
    </w:p>
    <w:p>
      <w:pPr>
        <w:jc w:val="center"/>
        <w:rPr>
          <w:rFonts w:ascii="Times New Roman" w:hAnsi="Times New Roman" w:cs="Times New Roman"/>
          <w:b/>
          <w:bCs/>
          <w:kern w:val="44"/>
          <w:sz w:val="52"/>
          <w:szCs w:val="52"/>
        </w:rPr>
      </w:pPr>
      <w:r>
        <w:rPr>
          <w:rFonts w:hint="eastAsia" w:ascii="Times New Roman" w:hAnsi="Times New Roman" w:cs="Times New Roman"/>
          <w:b/>
          <w:bCs/>
          <w:kern w:val="44"/>
          <w:sz w:val="52"/>
          <w:szCs w:val="52"/>
        </w:rPr>
        <w:t>陕西省非税暨票据管理一体化平台</w:t>
      </w:r>
    </w:p>
    <w:p>
      <w:pPr>
        <w:jc w:val="center"/>
        <w:rPr>
          <w:rFonts w:ascii="Times New Roman" w:hAnsi="Times New Roman" w:cs="Times New Roman"/>
          <w:b/>
          <w:bCs/>
          <w:kern w:val="44"/>
          <w:sz w:val="52"/>
          <w:szCs w:val="52"/>
        </w:rPr>
      </w:pPr>
      <w:r>
        <w:rPr>
          <w:rFonts w:hint="eastAsia" w:ascii="Times New Roman" w:hAnsi="Times New Roman" w:cs="Times New Roman"/>
          <w:b/>
          <w:bCs/>
          <w:kern w:val="44"/>
          <w:sz w:val="52"/>
          <w:szCs w:val="52"/>
        </w:rPr>
        <w:t>单位端</w:t>
      </w:r>
    </w:p>
    <w:p>
      <w:pPr>
        <w:widowControl/>
        <w:jc w:val="center"/>
        <w:rPr>
          <w:rFonts w:ascii="宋体" w:hAnsi="宋体" w:cs="宋体"/>
          <w:b/>
          <w:kern w:val="0"/>
          <w:sz w:val="48"/>
          <w:szCs w:val="48"/>
        </w:rPr>
      </w:pPr>
    </w:p>
    <w:p>
      <w:pPr>
        <w:jc w:val="center"/>
        <w:rPr>
          <w:b/>
          <w:bCs/>
          <w:sz w:val="52"/>
          <w:szCs w:val="52"/>
        </w:rPr>
      </w:pPr>
      <w:r>
        <w:rPr>
          <w:b/>
          <w:bCs/>
          <w:sz w:val="52"/>
          <w:szCs w:val="52"/>
        </w:rPr>
        <w:t>操</w:t>
      </w:r>
    </w:p>
    <w:p>
      <w:pPr>
        <w:jc w:val="center"/>
        <w:rPr>
          <w:b/>
          <w:bCs/>
          <w:sz w:val="52"/>
          <w:szCs w:val="52"/>
        </w:rPr>
      </w:pPr>
    </w:p>
    <w:p>
      <w:pPr>
        <w:jc w:val="center"/>
        <w:rPr>
          <w:b/>
          <w:bCs/>
          <w:sz w:val="52"/>
          <w:szCs w:val="52"/>
        </w:rPr>
      </w:pPr>
      <w:r>
        <w:rPr>
          <w:b/>
          <w:bCs/>
          <w:sz w:val="52"/>
          <w:szCs w:val="52"/>
        </w:rPr>
        <w:t>作</w:t>
      </w:r>
    </w:p>
    <w:p>
      <w:pPr>
        <w:jc w:val="center"/>
        <w:rPr>
          <w:b/>
          <w:bCs/>
          <w:sz w:val="52"/>
          <w:szCs w:val="52"/>
        </w:rPr>
      </w:pPr>
    </w:p>
    <w:p>
      <w:pPr>
        <w:jc w:val="center"/>
        <w:rPr>
          <w:b/>
          <w:bCs/>
          <w:sz w:val="52"/>
          <w:szCs w:val="52"/>
        </w:rPr>
      </w:pPr>
      <w:r>
        <w:rPr>
          <w:b/>
          <w:bCs/>
          <w:sz w:val="52"/>
          <w:szCs w:val="52"/>
        </w:rPr>
        <w:t>手</w:t>
      </w:r>
    </w:p>
    <w:p>
      <w:pPr>
        <w:jc w:val="center"/>
        <w:rPr>
          <w:b/>
          <w:bCs/>
          <w:sz w:val="52"/>
          <w:szCs w:val="52"/>
        </w:rPr>
      </w:pPr>
    </w:p>
    <w:p>
      <w:pPr>
        <w:jc w:val="center"/>
        <w:rPr>
          <w:b/>
          <w:bCs/>
          <w:sz w:val="52"/>
          <w:szCs w:val="52"/>
        </w:rPr>
      </w:pPr>
      <w:r>
        <w:rPr>
          <w:b/>
          <w:bCs/>
          <w:sz w:val="52"/>
          <w:szCs w:val="52"/>
        </w:rPr>
        <w:t>册</w:t>
      </w:r>
    </w:p>
    <w:p>
      <w:pPr>
        <w:jc w:val="center"/>
        <w:rPr>
          <w:b/>
          <w:sz w:val="36"/>
          <w:szCs w:val="36"/>
        </w:rPr>
      </w:pPr>
    </w:p>
    <w:p>
      <w:pPr>
        <w:jc w:val="center"/>
        <w:rPr>
          <w:kern w:val="0"/>
        </w:rPr>
      </w:pPr>
      <w:r>
        <w:rPr>
          <w:kern w:val="0"/>
        </w:rPr>
        <w:drawing>
          <wp:inline distT="0" distB="0" distL="0" distR="0">
            <wp:extent cx="808990" cy="898525"/>
            <wp:effectExtent l="0" t="0" r="1016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8990" cy="898525"/>
                    </a:xfrm>
                    <a:prstGeom prst="rect">
                      <a:avLst/>
                    </a:prstGeom>
                    <a:noFill/>
                    <a:ln>
                      <a:noFill/>
                    </a:ln>
                  </pic:spPr>
                </pic:pic>
              </a:graphicData>
            </a:graphic>
          </wp:inline>
        </w:drawing>
      </w:r>
    </w:p>
    <w:p>
      <w:pPr>
        <w:rPr>
          <w:b/>
          <w:sz w:val="44"/>
        </w:rPr>
      </w:pPr>
    </w:p>
    <w:p>
      <w:pPr>
        <w:jc w:val="center"/>
        <w:rPr>
          <w:b/>
        </w:rPr>
      </w:pPr>
      <w:r>
        <w:rPr>
          <w:rFonts w:hint="eastAsia"/>
          <w:b/>
        </w:rPr>
        <w:t>福建博思软件股份有限公司</w:t>
      </w:r>
    </w:p>
    <w:p>
      <w:pPr>
        <w:jc w:val="center"/>
        <w:rPr>
          <w:b/>
        </w:rPr>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pPr>
      <w:r>
        <w:rPr>
          <w:rFonts w:hint="eastAsia"/>
          <w:b/>
        </w:rPr>
        <w:t>2</w:t>
      </w:r>
      <w:r>
        <w:rPr>
          <w:b/>
        </w:rPr>
        <w:t>022</w:t>
      </w:r>
      <w:r>
        <w:rPr>
          <w:rFonts w:hint="eastAsia"/>
          <w:b/>
        </w:rPr>
        <w:t>年</w:t>
      </w:r>
      <w:r>
        <w:rPr>
          <w:b/>
        </w:rPr>
        <w:t>6</w:t>
      </w:r>
      <w:r>
        <w:rPr>
          <w:rFonts w:hint="eastAsia"/>
          <w:b/>
        </w:rPr>
        <w:t>月</w:t>
      </w:r>
    </w:p>
    <w:sdt>
      <w:sdtPr>
        <w:rPr>
          <w:rStyle w:val="19"/>
          <w:rFonts w:eastAsia="仿宋"/>
          <w:sz w:val="24"/>
          <w:szCs w:val="24"/>
        </w:rPr>
        <w:id w:val="-756905189"/>
        <w:docPartObj>
          <w:docPartGallery w:val="Table of Contents"/>
          <w:docPartUnique/>
        </w:docPartObj>
      </w:sdtPr>
      <w:sdtEndPr>
        <w:rPr>
          <w:rStyle w:val="17"/>
          <w:rFonts w:eastAsia="仿宋"/>
          <w:b/>
          <w:bCs/>
          <w:color w:val="auto"/>
          <w:sz w:val="28"/>
          <w:szCs w:val="22"/>
          <w:u w:val="none"/>
          <w:lang w:val="zh-CN"/>
        </w:rPr>
      </w:sdtEndPr>
      <w:sdtContent>
        <w:p>
          <w:pPr>
            <w:pStyle w:val="14"/>
            <w:tabs>
              <w:tab w:val="right" w:leader="dot" w:pos="8296"/>
            </w:tabs>
            <w:ind w:left="280" w:firstLine="3840" w:firstLineChars="1600"/>
            <w:rPr>
              <w:rStyle w:val="19"/>
              <w:b/>
              <w:bCs/>
              <w:color w:val="000000" w:themeColor="text1"/>
              <w:szCs w:val="28"/>
              <w14:textFill>
                <w14:solidFill>
                  <w14:schemeClr w14:val="tx1"/>
                </w14:solidFill>
              </w14:textFill>
            </w:rPr>
          </w:pPr>
          <w:r>
            <w:rPr>
              <w:rStyle w:val="19"/>
              <w:b/>
              <w:bCs/>
              <w:color w:val="000000" w:themeColor="text1"/>
              <w:szCs w:val="28"/>
              <w14:textFill>
                <w14:solidFill>
                  <w14:schemeClr w14:val="tx1"/>
                </w14:solidFill>
              </w14:textFill>
            </w:rPr>
            <w:t>目录</w:t>
          </w:r>
        </w:p>
        <w:p>
          <w:pPr>
            <w:pStyle w:val="13"/>
            <w:tabs>
              <w:tab w:val="right" w:leader="dot" w:pos="8296"/>
            </w:tabs>
            <w:rPr>
              <w:rFonts w:asciiTheme="minorHAnsi" w:hAnsiTheme="minorHAnsi" w:eastAsiaTheme="minorEastAsia" w:cstheme="minorBidi"/>
              <w:b w:val="0"/>
              <w:sz w:val="21"/>
            </w:rPr>
          </w:pPr>
          <w:r>
            <w:rPr>
              <w:rFonts w:ascii="仿宋" w:hAnsi="仿宋" w:eastAsia="仿宋"/>
              <w:sz w:val="28"/>
              <w:szCs w:val="28"/>
            </w:rPr>
            <w:fldChar w:fldCharType="begin"/>
          </w:r>
          <w:r>
            <w:rPr>
              <w:rFonts w:ascii="仿宋" w:hAnsi="仿宋" w:eastAsia="仿宋"/>
              <w:sz w:val="28"/>
              <w:szCs w:val="28"/>
            </w:rPr>
            <w:instrText xml:space="preserve"> TOC \o "1-3" \h \z \u </w:instrText>
          </w:r>
          <w:r>
            <w:rPr>
              <w:rFonts w:ascii="仿宋" w:hAnsi="仿宋" w:eastAsia="仿宋"/>
              <w:sz w:val="28"/>
              <w:szCs w:val="28"/>
            </w:rPr>
            <w:fldChar w:fldCharType="separate"/>
          </w:r>
          <w:r>
            <w:fldChar w:fldCharType="begin"/>
          </w:r>
          <w:r>
            <w:instrText xml:space="preserve"> HYPERLINK \l "_Toc107481900" </w:instrText>
          </w:r>
          <w:r>
            <w:fldChar w:fldCharType="separate"/>
          </w:r>
          <w:r>
            <w:rPr>
              <w:rStyle w:val="19"/>
            </w:rPr>
            <w:t>一、系统初始化</w:t>
          </w:r>
          <w:r>
            <w:tab/>
          </w:r>
          <w:r>
            <w:fldChar w:fldCharType="begin"/>
          </w:r>
          <w:r>
            <w:instrText xml:space="preserve"> PAGEREF _Toc107481900 \h </w:instrText>
          </w:r>
          <w:r>
            <w:fldChar w:fldCharType="separate"/>
          </w:r>
          <w:r>
            <w:t>1</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"_Toc107481901" </w:instrText>
          </w:r>
          <w:r>
            <w:fldChar w:fldCharType="separate"/>
          </w:r>
          <w:r>
            <w:rPr>
              <w:rStyle w:val="19"/>
            </w:rPr>
            <w:t>1.1下载操作说明</w:t>
          </w:r>
          <w:r>
            <w:tab/>
          </w:r>
          <w:r>
            <w:fldChar w:fldCharType="begin"/>
          </w:r>
          <w:r>
            <w:instrText xml:space="preserve"> PAGEREF _Toc107481901 \h </w:instrText>
          </w:r>
          <w:r>
            <w:fldChar w:fldCharType="separate"/>
          </w:r>
          <w:r>
            <w:t>1</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"_Toc107481902" </w:instrText>
          </w:r>
          <w:r>
            <w:fldChar w:fldCharType="separate"/>
          </w:r>
          <w:r>
            <w:rPr>
              <w:rStyle w:val="19"/>
            </w:rPr>
            <w:t>1.2系统登录</w:t>
          </w:r>
          <w:r>
            <w:tab/>
          </w:r>
          <w:r>
            <w:fldChar w:fldCharType="begin"/>
          </w:r>
          <w:r>
            <w:instrText xml:space="preserve"> PAGEREF _Toc107481902 \h </w:instrText>
          </w:r>
          <w:r>
            <w:fldChar w:fldCharType="separate"/>
          </w:r>
          <w:r>
            <w:t>1</w:t>
          </w:r>
          <w:r>
            <w:fldChar w:fldCharType="end"/>
          </w:r>
          <w:r>
            <w:fldChar w:fldCharType="end"/>
          </w:r>
        </w:p>
        <w:p>
          <w:pPr>
            <w:pStyle w:val="13"/>
            <w:tabs>
              <w:tab w:val="right" w:leader="dot" w:pos="8296"/>
            </w:tabs>
            <w:rPr>
              <w:rFonts w:asciiTheme="minorHAnsi" w:hAnsiTheme="minorHAnsi" w:eastAsiaTheme="minorEastAsia" w:cstheme="minorBidi"/>
              <w:b w:val="0"/>
              <w:sz w:val="21"/>
            </w:rPr>
          </w:pPr>
          <w:r>
            <w:fldChar w:fldCharType="begin"/>
          </w:r>
          <w:r>
            <w:instrText xml:space="preserve"> HYPERLINK \l "_Toc107481903" </w:instrText>
          </w:r>
          <w:r>
            <w:fldChar w:fldCharType="separate"/>
          </w:r>
          <w:r>
            <w:rPr>
              <w:rStyle w:val="19"/>
            </w:rPr>
            <w:t>二、 单位信息维护</w:t>
          </w:r>
          <w:r>
            <w:tab/>
          </w:r>
          <w:r>
            <w:fldChar w:fldCharType="begin"/>
          </w:r>
          <w:r>
            <w:instrText xml:space="preserve"> PAGEREF _Toc107481903 \h </w:instrText>
          </w:r>
          <w:r>
            <w:fldChar w:fldCharType="separate"/>
          </w:r>
          <w:r>
            <w:t>2</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"_Toc107481904" </w:instrText>
          </w:r>
          <w:r>
            <w:fldChar w:fldCharType="separate"/>
          </w:r>
          <w:r>
            <w:rPr>
              <w:rStyle w:val="19"/>
            </w:rPr>
            <w:t>2.1项目挂接申请</w:t>
          </w:r>
          <w:r>
            <w:tab/>
          </w:r>
          <w:r>
            <w:fldChar w:fldCharType="begin"/>
          </w:r>
          <w:r>
            <w:instrText xml:space="preserve"> PAGEREF _Toc107481904 \h </w:instrText>
          </w:r>
          <w:r>
            <w:fldChar w:fldCharType="separate"/>
          </w:r>
          <w:r>
            <w:t>2</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"_Toc107481905" </w:instrText>
          </w:r>
          <w:r>
            <w:fldChar w:fldCharType="separate"/>
          </w:r>
          <w:r>
            <w:rPr>
              <w:rStyle w:val="19"/>
            </w:rPr>
            <w:t>2.2单位领用证申请</w:t>
          </w:r>
          <w:r>
            <w:tab/>
          </w:r>
          <w:r>
            <w:fldChar w:fldCharType="begin"/>
          </w:r>
          <w:r>
            <w:instrText xml:space="preserve"> PAGEREF _Toc107481905 \h </w:instrText>
          </w:r>
          <w:r>
            <w:fldChar w:fldCharType="separate"/>
          </w:r>
          <w:r>
            <w:t>4</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"_Toc107481906" </w:instrText>
          </w:r>
          <w:r>
            <w:fldChar w:fldCharType="separate"/>
          </w:r>
          <w:r>
            <w:rPr>
              <w:rStyle w:val="19"/>
            </w:rPr>
            <w:t>2.3票据挂接申请</w:t>
          </w:r>
          <w:r>
            <w:tab/>
          </w:r>
          <w:r>
            <w:fldChar w:fldCharType="begin"/>
          </w:r>
          <w:r>
            <w:instrText xml:space="preserve"> PAGEREF _Toc107481906 \h </w:instrText>
          </w:r>
          <w:r>
            <w:fldChar w:fldCharType="separate"/>
          </w:r>
          <w:r>
            <w:t>5</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"_Toc107481907" </w:instrText>
          </w:r>
          <w:r>
            <w:fldChar w:fldCharType="separate"/>
          </w:r>
          <w:r>
            <w:rPr>
              <w:rStyle w:val="19"/>
            </w:rPr>
            <w:t>2.4单位基础信息</w:t>
          </w:r>
          <w:r>
            <w:tab/>
          </w:r>
          <w:r>
            <w:fldChar w:fldCharType="begin"/>
          </w:r>
          <w:r>
            <w:instrText xml:space="preserve"> PAGEREF _Toc107481907 \h </w:instrText>
          </w:r>
          <w:r>
            <w:fldChar w:fldCharType="separate"/>
          </w:r>
          <w:r>
            <w:t>7</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"_Toc107481908" </w:instrText>
          </w:r>
          <w:r>
            <w:fldChar w:fldCharType="separate"/>
          </w:r>
          <w:r>
            <w:rPr>
              <w:rStyle w:val="19"/>
            </w:rPr>
            <w:t>2.5罚没证申请</w:t>
          </w:r>
          <w:r>
            <w:tab/>
          </w:r>
          <w:r>
            <w:fldChar w:fldCharType="begin"/>
          </w:r>
          <w:r>
            <w:instrText xml:space="preserve"> PAGEREF _Toc107481908 \h </w:instrText>
          </w:r>
          <w:r>
            <w:fldChar w:fldCharType="separate"/>
          </w:r>
          <w:r>
            <w:t>8</w:t>
          </w:r>
          <w:r>
            <w:fldChar w:fldCharType="end"/>
          </w:r>
          <w:r>
            <w:fldChar w:fldCharType="end"/>
          </w:r>
        </w:p>
        <w:p>
          <w:pPr>
            <w:pStyle w:val="13"/>
            <w:tabs>
              <w:tab w:val="right" w:leader="dot" w:pos="8296"/>
            </w:tabs>
            <w:rPr>
              <w:rFonts w:asciiTheme="minorHAnsi" w:hAnsiTheme="minorHAnsi" w:eastAsiaTheme="minorEastAsia" w:cstheme="minorBidi"/>
              <w:b w:val="0"/>
              <w:sz w:val="21"/>
            </w:rPr>
          </w:pPr>
          <w:r>
            <w:fldChar w:fldCharType="begin"/>
          </w:r>
          <w:r>
            <w:instrText xml:space="preserve"> HYPERLINK \l "_Toc107481909" </w:instrText>
          </w:r>
          <w:r>
            <w:fldChar w:fldCharType="separate"/>
          </w:r>
          <w:r>
            <w:rPr>
              <w:rStyle w:val="19"/>
            </w:rPr>
            <w:t>三、日常操作</w:t>
          </w:r>
          <w:r>
            <w:tab/>
          </w:r>
          <w:r>
            <w:fldChar w:fldCharType="begin"/>
          </w:r>
          <w:r>
            <w:instrText xml:space="preserve"> PAGEREF _Toc107481909 \h </w:instrText>
          </w:r>
          <w:r>
            <w:fldChar w:fldCharType="separate"/>
          </w:r>
          <w:r>
            <w:t>10</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"_Toc107481910" </w:instrText>
          </w:r>
          <w:r>
            <w:fldChar w:fldCharType="separate"/>
          </w:r>
          <w:r>
            <w:rPr>
              <w:rStyle w:val="19"/>
            </w:rPr>
            <w:t>3.1 票据申领</w:t>
          </w:r>
          <w:r>
            <w:tab/>
          </w:r>
          <w:r>
            <w:fldChar w:fldCharType="begin"/>
          </w:r>
          <w:r>
            <w:instrText xml:space="preserve"> PAGEREF _Toc107481910 \h </w:instrText>
          </w:r>
          <w:r>
            <w:fldChar w:fldCharType="separate"/>
          </w:r>
          <w:r>
            <w:t>10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"_Toc107481911" </w:instrText>
          </w:r>
          <w:r>
            <w:fldChar w:fldCharType="separate"/>
          </w:r>
          <w:r>
            <w:rPr>
              <w:rStyle w:val="19"/>
            </w:rPr>
            <w:t>3.1.1 申领票据</w:t>
          </w:r>
          <w:r>
            <w:tab/>
          </w:r>
          <w:r>
            <w:fldChar w:fldCharType="begin"/>
          </w:r>
          <w:r>
            <w:instrText xml:space="preserve"> PAGEREF _Toc107481911 \h </w:instrText>
          </w:r>
          <w:r>
            <w:fldChar w:fldCharType="separate"/>
          </w:r>
          <w:r>
            <w:t>10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"_Toc107481912" </w:instrText>
          </w:r>
          <w:r>
            <w:fldChar w:fldCharType="separate"/>
          </w:r>
          <w:r>
            <w:rPr>
              <w:rStyle w:val="19"/>
            </w:rPr>
            <w:t>3.1.2申领审核</w:t>
          </w:r>
          <w:r>
            <w:tab/>
          </w:r>
          <w:r>
            <w:fldChar w:fldCharType="begin"/>
          </w:r>
          <w:r>
            <w:instrText xml:space="preserve"> PAGEREF _Toc107481912 \h </w:instrText>
          </w:r>
          <w:r>
            <w:fldChar w:fldCharType="separate"/>
          </w:r>
          <w:r>
            <w:t>10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"_Toc107481913" </w:instrText>
          </w:r>
          <w:r>
            <w:fldChar w:fldCharType="separate"/>
          </w:r>
          <w:r>
            <w:rPr>
              <w:rStyle w:val="19"/>
            </w:rPr>
            <w:t>3.1.3票据入库</w:t>
          </w:r>
          <w:r>
            <w:tab/>
          </w:r>
          <w:r>
            <w:fldChar w:fldCharType="begin"/>
          </w:r>
          <w:r>
            <w:instrText xml:space="preserve"> PAGEREF _Toc107481913 \h </w:instrText>
          </w:r>
          <w:r>
            <w:fldChar w:fldCharType="separate"/>
          </w:r>
          <w:r>
            <w:t>11</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"_Toc107481914" </w:instrText>
          </w:r>
          <w:r>
            <w:fldChar w:fldCharType="separate"/>
          </w:r>
          <w:r>
            <w:rPr>
              <w:rStyle w:val="19"/>
            </w:rPr>
            <w:t>3.2票据申退</w:t>
          </w:r>
          <w:r>
            <w:tab/>
          </w:r>
          <w:r>
            <w:fldChar w:fldCharType="begin"/>
          </w:r>
          <w:r>
            <w:instrText xml:space="preserve"> PAGEREF _Toc107481914 \h </w:instrText>
          </w:r>
          <w:r>
            <w:fldChar w:fldCharType="separate"/>
          </w:r>
          <w:r>
            <w:t>12</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"_Toc107481915" </w:instrText>
          </w:r>
          <w:r>
            <w:fldChar w:fldCharType="separate"/>
          </w:r>
          <w:r>
            <w:rPr>
              <w:rStyle w:val="19"/>
            </w:rPr>
            <w:t>3.3开电子缴款书</w:t>
          </w:r>
          <w:r>
            <w:tab/>
          </w:r>
          <w:r>
            <w:fldChar w:fldCharType="begin"/>
          </w:r>
          <w:r>
            <w:instrText xml:space="preserve"> PAGEREF _Toc107481915 \h </w:instrText>
          </w:r>
          <w:r>
            <w:fldChar w:fldCharType="separate"/>
          </w:r>
          <w:r>
            <w:t>15</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"_Toc107481916" </w:instrText>
          </w:r>
          <w:r>
            <w:fldChar w:fldCharType="separate"/>
          </w:r>
          <w:r>
            <w:rPr>
              <w:rStyle w:val="19"/>
            </w:rPr>
            <w:t>3.3.1 开电子缴款书</w:t>
          </w:r>
          <w:r>
            <w:tab/>
          </w:r>
          <w:r>
            <w:fldChar w:fldCharType="begin"/>
          </w:r>
          <w:r>
            <w:instrText xml:space="preserve"> PAGEREF _Toc107481916 \h </w:instrText>
          </w:r>
          <w:r>
            <w:fldChar w:fldCharType="separate"/>
          </w:r>
          <w:r>
            <w:t>15</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"_Toc107481917" </w:instrText>
          </w:r>
          <w:r>
            <w:fldChar w:fldCharType="separate"/>
          </w:r>
          <w:r>
            <w:rPr>
              <w:rStyle w:val="19"/>
            </w:rPr>
            <w:t>3.3.2通知缴款</w:t>
          </w:r>
          <w:r>
            <w:tab/>
          </w:r>
          <w:r>
            <w:fldChar w:fldCharType="begin"/>
          </w:r>
          <w:r>
            <w:instrText xml:space="preserve"> PAGEREF _Toc107481917 \h </w:instrText>
          </w:r>
          <w:r>
            <w:fldChar w:fldCharType="separate"/>
          </w:r>
          <w:r>
            <w:t>16</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"_Toc107481918" </w:instrText>
          </w:r>
          <w:r>
            <w:fldChar w:fldCharType="separate"/>
          </w:r>
          <w:r>
            <w:rPr>
              <w:rStyle w:val="19"/>
            </w:rPr>
            <w:t>3.3.3打印电子缴款书</w:t>
          </w:r>
          <w:r>
            <w:tab/>
          </w:r>
          <w:r>
            <w:fldChar w:fldCharType="begin"/>
          </w:r>
          <w:r>
            <w:instrText xml:space="preserve"> PAGEREF _Toc107481918 \h </w:instrText>
          </w:r>
          <w:r>
            <w:fldChar w:fldCharType="separate"/>
          </w:r>
          <w:r>
            <w:t>17</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"_Toc107481919" </w:instrText>
          </w:r>
          <w:r>
            <w:fldChar w:fldCharType="separate"/>
          </w:r>
          <w:r>
            <w:rPr>
              <w:rStyle w:val="19"/>
            </w:rPr>
            <w:t>3.3.4查看电子票</w:t>
          </w:r>
          <w:r>
            <w:tab/>
          </w:r>
          <w:r>
            <w:fldChar w:fldCharType="begin"/>
          </w:r>
          <w:r>
            <w:instrText xml:space="preserve"> PAGEREF _Toc107481919 \h </w:instrText>
          </w:r>
          <w:r>
            <w:fldChar w:fldCharType="separate"/>
          </w:r>
          <w:r>
            <w:t>18</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"_Toc107481920" </w:instrText>
          </w:r>
          <w:r>
            <w:fldChar w:fldCharType="separate"/>
          </w:r>
          <w:r>
            <w:rPr>
              <w:rStyle w:val="19"/>
            </w:rPr>
            <w:t>3.3.5退付</w:t>
          </w:r>
          <w:r>
            <w:tab/>
          </w:r>
          <w:r>
            <w:fldChar w:fldCharType="begin"/>
          </w:r>
          <w:r>
            <w:instrText xml:space="preserve"> PAGEREF _Toc107481920 \h </w:instrText>
          </w:r>
          <w:r>
            <w:fldChar w:fldCharType="separate"/>
          </w:r>
          <w:r>
            <w:t>18</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"_Toc107481921" </w:instrText>
          </w:r>
          <w:r>
            <w:fldChar w:fldCharType="separate"/>
          </w:r>
          <w:r>
            <w:rPr>
              <w:rStyle w:val="19"/>
            </w:rPr>
            <w:t>3.4批量开电子缴款书</w:t>
          </w:r>
          <w:r>
            <w:tab/>
          </w:r>
          <w:r>
            <w:fldChar w:fldCharType="begin"/>
          </w:r>
          <w:r>
            <w:instrText xml:space="preserve"> PAGEREF _Toc107481921 \h </w:instrText>
          </w:r>
          <w:r>
            <w:fldChar w:fldCharType="separate"/>
          </w:r>
          <w:r>
            <w:t>20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"_Toc107481922" </w:instrText>
          </w:r>
          <w:r>
            <w:fldChar w:fldCharType="separate"/>
          </w:r>
          <w:r>
            <w:rPr>
              <w:rStyle w:val="19"/>
            </w:rPr>
            <w:t>3.4.1批量导入模板下载</w:t>
          </w:r>
          <w:r>
            <w:tab/>
          </w:r>
          <w:r>
            <w:fldChar w:fldCharType="begin"/>
          </w:r>
          <w:r>
            <w:instrText xml:space="preserve"> PAGEREF _Toc107481922 \h </w:instrText>
          </w:r>
          <w:r>
            <w:fldChar w:fldCharType="separate"/>
          </w:r>
          <w:r>
            <w:t>20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"_Toc107481923" </w:instrText>
          </w:r>
          <w:r>
            <w:fldChar w:fldCharType="separate"/>
          </w:r>
          <w:r>
            <w:rPr>
              <w:rStyle w:val="19"/>
            </w:rPr>
            <w:t>3.4.2批量导入模板信息填写规范</w:t>
          </w:r>
          <w:r>
            <w:tab/>
          </w:r>
          <w:r>
            <w:fldChar w:fldCharType="begin"/>
          </w:r>
          <w:r>
            <w:instrText xml:space="preserve"> PAGEREF _Toc107481923 \h </w:instrText>
          </w:r>
          <w:r>
            <w:fldChar w:fldCharType="separate"/>
          </w:r>
          <w:r>
            <w:t>20</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"_Toc107481924" </w:instrText>
          </w:r>
          <w:r>
            <w:fldChar w:fldCharType="separate"/>
          </w:r>
          <w:r>
            <w:rPr>
              <w:rStyle w:val="19"/>
            </w:rPr>
            <w:t>3.4.3模板导入</w:t>
          </w:r>
          <w:r>
            <w:tab/>
          </w:r>
          <w:r>
            <w:fldChar w:fldCharType="begin"/>
          </w:r>
          <w:r>
            <w:instrText xml:space="preserve"> PAGEREF _Toc107481924 \h </w:instrText>
          </w:r>
          <w:r>
            <w:fldChar w:fldCharType="separate"/>
          </w:r>
          <w:r>
            <w:t>21</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"_Toc107481925" </w:instrText>
          </w:r>
          <w:r>
            <w:fldChar w:fldCharType="separate"/>
          </w:r>
          <w:r>
            <w:rPr>
              <w:rStyle w:val="19"/>
            </w:rPr>
            <w:t>3.4.4电子缴款书签名</w:t>
          </w:r>
          <w:r>
            <w:tab/>
          </w:r>
          <w:r>
            <w:fldChar w:fldCharType="begin"/>
          </w:r>
          <w:r>
            <w:instrText xml:space="preserve"> PAGEREF _Toc107481925 \h </w:instrText>
          </w:r>
          <w:r>
            <w:fldChar w:fldCharType="separate"/>
          </w:r>
          <w:r>
            <w:t>22</w:t>
          </w:r>
          <w:r>
            <w:fldChar w:fldCharType="end"/>
          </w:r>
          <w:r>
            <w:fldChar w:fldCharType="end"/>
          </w:r>
        </w:p>
        <w:p>
          <w:pPr>
            <w:pStyle w:val="9"/>
            <w:ind w:left="560"/>
            <w:rPr>
              <w:rFonts w:asciiTheme="minorHAnsi" w:hAnsiTheme="minorHAnsi" w:eastAsiaTheme="minorEastAsia" w:cstheme="minorBidi"/>
              <w:sz w:val="21"/>
            </w:rPr>
          </w:pPr>
          <w:r>
            <w:fldChar w:fldCharType="begin"/>
          </w:r>
          <w:r>
            <w:instrText xml:space="preserve"> HYPERLINK \l "_Toc107481926" </w:instrText>
          </w:r>
          <w:r>
            <w:fldChar w:fldCharType="separate"/>
          </w:r>
          <w:r>
            <w:rPr>
              <w:rStyle w:val="19"/>
            </w:rPr>
            <w:t>3.4.5电子缴款书查看</w:t>
          </w:r>
          <w:r>
            <w:tab/>
          </w:r>
          <w:r>
            <w:fldChar w:fldCharType="begin"/>
          </w:r>
          <w:r>
            <w:instrText xml:space="preserve"> PAGEREF _Toc107481926 \h </w:instrText>
          </w:r>
          <w:r>
            <w:fldChar w:fldCharType="separate"/>
          </w:r>
          <w:r>
            <w:t>22</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"_Toc107481927" </w:instrText>
          </w:r>
          <w:r>
            <w:fldChar w:fldCharType="separate"/>
          </w:r>
          <w:r>
            <w:rPr>
              <w:rStyle w:val="19"/>
            </w:rPr>
            <w:t>3.5票据查验</w:t>
          </w:r>
          <w:r>
            <w:tab/>
          </w:r>
          <w:r>
            <w:fldChar w:fldCharType="begin"/>
          </w:r>
          <w:r>
            <w:instrText xml:space="preserve"> PAGEREF _Toc107481927 \h </w:instrText>
          </w:r>
          <w:r>
            <w:fldChar w:fldCharType="separate"/>
          </w:r>
          <w:r>
            <w:t>23</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"_Toc107481928" </w:instrText>
          </w:r>
          <w:r>
            <w:fldChar w:fldCharType="separate"/>
          </w:r>
          <w:r>
            <w:rPr>
              <w:rStyle w:val="19"/>
            </w:rPr>
            <w:t>3.6票据核销</w:t>
          </w:r>
          <w:r>
            <w:tab/>
          </w:r>
          <w:r>
            <w:fldChar w:fldCharType="begin"/>
          </w:r>
          <w:r>
            <w:instrText xml:space="preserve"> PAGEREF _Toc107481928 \h </w:instrText>
          </w:r>
          <w:r>
            <w:fldChar w:fldCharType="separate"/>
          </w:r>
          <w:r>
            <w:t>24</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"_Toc107481929" </w:instrText>
          </w:r>
          <w:r>
            <w:fldChar w:fldCharType="separate"/>
          </w:r>
          <w:r>
            <w:rPr>
              <w:rStyle w:val="19"/>
            </w:rPr>
            <w:t>3.7库存结余查询</w:t>
          </w:r>
          <w:r>
            <w:tab/>
          </w:r>
          <w:r>
            <w:fldChar w:fldCharType="begin"/>
          </w:r>
          <w:r>
            <w:instrText xml:space="preserve"> PAGEREF _Toc107481929 \h </w:instrText>
          </w:r>
          <w:r>
            <w:fldChar w:fldCharType="separate"/>
          </w:r>
          <w:r>
            <w:t>26</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"_Toc107481930" </w:instrText>
          </w:r>
          <w:r>
            <w:fldChar w:fldCharType="separate"/>
          </w:r>
          <w:r>
            <w:rPr>
              <w:rStyle w:val="19"/>
            </w:rPr>
            <w:t>3.8缴款情况查询</w:t>
          </w:r>
          <w:r>
            <w:tab/>
          </w:r>
          <w:r>
            <w:fldChar w:fldCharType="begin"/>
          </w:r>
          <w:r>
            <w:instrText xml:space="preserve"> PAGEREF _Toc107481930 \h </w:instrText>
          </w:r>
          <w:r>
            <w:fldChar w:fldCharType="separate"/>
          </w:r>
          <w:r>
            <w:t>27</w:t>
          </w:r>
          <w:r>
            <w:fldChar w:fldCharType="end"/>
          </w:r>
          <w:r>
            <w:fldChar w:fldCharType="end"/>
          </w:r>
        </w:p>
        <w:p>
          <w:pPr>
            <w:pStyle w:val="14"/>
            <w:tabs>
              <w:tab w:val="right" w:leader="dot" w:pos="8296"/>
            </w:tabs>
            <w:ind w:left="280"/>
            <w:rPr>
              <w:rFonts w:asciiTheme="minorHAnsi" w:hAnsiTheme="minorHAnsi" w:eastAsiaTheme="minorEastAsia" w:cstheme="minorBidi"/>
              <w:sz w:val="21"/>
            </w:rPr>
          </w:pPr>
          <w:r>
            <w:fldChar w:fldCharType="begin"/>
          </w:r>
          <w:r>
            <w:instrText xml:space="preserve"> HYPERLINK \l "_Toc107481931" </w:instrText>
          </w:r>
          <w:r>
            <w:fldChar w:fldCharType="separate"/>
          </w:r>
          <w:r>
            <w:rPr>
              <w:rStyle w:val="19"/>
            </w:rPr>
            <w:t>3.9电子缴款书明细表查询</w:t>
          </w:r>
          <w:r>
            <w:tab/>
          </w:r>
          <w:r>
            <w:fldChar w:fldCharType="begin"/>
          </w:r>
          <w:r>
            <w:instrText xml:space="preserve"> PAGEREF _Toc107481931 \h </w:instrText>
          </w:r>
          <w:r>
            <w:fldChar w:fldCharType="separate"/>
          </w:r>
          <w:r>
            <w:t>27</w:t>
          </w:r>
          <w:r>
            <w:fldChar w:fldCharType="end"/>
          </w:r>
          <w:r>
            <w:fldChar w:fldCharType="end"/>
          </w:r>
        </w:p>
        <w:p>
          <w:pPr>
            <w:pStyle w:val="13"/>
            <w:tabs>
              <w:tab w:val="right" w:leader="dot" w:pos="8296"/>
            </w:tabs>
            <w:rPr>
              <w:rFonts w:asciiTheme="minorHAnsi" w:hAnsiTheme="minorHAnsi" w:eastAsiaTheme="minorEastAsia" w:cstheme="minorBidi"/>
              <w:b w:val="0"/>
              <w:sz w:val="21"/>
            </w:rPr>
          </w:pPr>
          <w:r>
            <w:fldChar w:fldCharType="begin"/>
          </w:r>
          <w:r>
            <w:instrText xml:space="preserve"> HYPERLINK \l "_Toc107481932" </w:instrText>
          </w:r>
          <w:r>
            <w:fldChar w:fldCharType="separate"/>
          </w:r>
          <w:r>
            <w:rPr>
              <w:rStyle w:val="19"/>
            </w:rPr>
            <w:t>四、运维服务</w:t>
          </w:r>
          <w:r>
            <w:tab/>
          </w:r>
          <w:r>
            <w:fldChar w:fldCharType="begin"/>
          </w:r>
          <w:r>
            <w:instrText xml:space="preserve"> PAGEREF _Toc107481932 \h </w:instrText>
          </w:r>
          <w:r>
            <w:fldChar w:fldCharType="separate"/>
          </w:r>
          <w:r>
            <w:t>28</w:t>
          </w:r>
          <w:r>
            <w:fldChar w:fldCharType="end"/>
          </w:r>
          <w:r>
            <w:fldChar w:fldCharType="end"/>
          </w:r>
        </w:p>
        <w:p>
          <w:p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r>
            <w:rPr>
              <w:rFonts w:ascii="仿宋" w:hAnsi="仿宋"/>
              <w:bCs/>
              <w:szCs w:val="28"/>
              <w:lang w:val="zh-CN"/>
            </w:rPr>
            <w:fldChar w:fldCharType="end"/>
          </w:r>
        </w:p>
      </w:sdtContent>
    </w:sdt>
    <w:p>
      <w:pPr>
        <w:pStyle w:val="2"/>
      </w:pPr>
      <w:bookmarkStart w:id="0" w:name="_Toc43803608"/>
      <w:bookmarkStart w:id="1" w:name="_Toc107481900"/>
      <w:r>
        <w:rPr>
          <w:rFonts w:hint="eastAsia"/>
        </w:rPr>
        <w:t>一、系统初始化</w:t>
      </w:r>
      <w:bookmarkEnd w:id="0"/>
      <w:bookmarkEnd w:id="1"/>
    </w:p>
    <w:p>
      <w:pPr>
        <w:pStyle w:val="3"/>
        <w:spacing w:line="412" w:lineRule="auto"/>
      </w:pPr>
      <w:bookmarkStart w:id="2" w:name="_Toc43803609"/>
      <w:bookmarkStart w:id="3" w:name="_Toc107481901"/>
      <w:bookmarkStart w:id="4" w:name="_Toc27975"/>
      <w:bookmarkStart w:id="5" w:name="_Toc486433357"/>
      <w:r>
        <w:rPr>
          <w:rFonts w:hint="eastAsia"/>
        </w:rPr>
        <w:t>1.1下载操作说明</w:t>
      </w:r>
      <w:bookmarkEnd w:id="2"/>
      <w:bookmarkEnd w:id="3"/>
    </w:p>
    <w:p>
      <w:pPr>
        <w:ind w:firstLine="560" w:firstLineChars="200"/>
      </w:pPr>
      <w:r>
        <w:rPr>
          <w:rFonts w:hint="eastAsia"/>
        </w:rPr>
        <w:t>进入系统登录界面，单击登录界面右上角的“操作说明”，选择好文件下载存放路径后，点击“下载”即可。</w:t>
      </w:r>
    </w:p>
    <w:bookmarkEnd w:id="4"/>
    <w:bookmarkEnd w:id="5"/>
    <w:p>
      <w:bookmarkStart w:id="6" w:name="_Toc12074"/>
      <w:r>
        <w:drawing>
          <wp:inline distT="0" distB="0" distL="0" distR="0">
            <wp:extent cx="5274310" cy="25057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505908"/>
                    </a:xfrm>
                    <a:prstGeom prst="rect">
                      <a:avLst/>
                    </a:prstGeom>
                  </pic:spPr>
                </pic:pic>
              </a:graphicData>
            </a:graphic>
          </wp:inline>
        </w:drawing>
      </w:r>
    </w:p>
    <w:p>
      <w:pPr>
        <w:pStyle w:val="3"/>
        <w:spacing w:line="412" w:lineRule="auto"/>
      </w:pPr>
      <w:bookmarkStart w:id="7" w:name="_Toc43803610"/>
      <w:bookmarkStart w:id="8" w:name="_Toc107481902"/>
      <w:r>
        <w:rPr>
          <w:rFonts w:hint="eastAsia"/>
        </w:rPr>
        <w:t>1.2系统登录</w:t>
      </w:r>
      <w:bookmarkEnd w:id="6"/>
      <w:bookmarkEnd w:id="7"/>
      <w:bookmarkEnd w:id="8"/>
    </w:p>
    <w:p>
      <w:r>
        <w:rPr>
          <w:rFonts w:hint="eastAsia"/>
        </w:rPr>
        <w:t>操作说明下载完成之后，点击【登录】，即可登录到系统首页：</w:t>
      </w:r>
    </w:p>
    <w:p>
      <w:r>
        <w:drawing>
          <wp:inline distT="0" distB="0" distL="0" distR="0">
            <wp:extent cx="5274310" cy="25584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559017"/>
                    </a:xfrm>
                    <a:prstGeom prst="rect">
                      <a:avLst/>
                    </a:prstGeom>
                  </pic:spPr>
                </pic:pic>
              </a:graphicData>
            </a:graphic>
          </wp:inline>
        </w:drawing>
      </w:r>
    </w:p>
    <w:p>
      <w:pPr>
        <w:pStyle w:val="2"/>
        <w:numPr>
          <w:ilvl w:val="0"/>
          <w:numId w:val="1"/>
        </w:numPr>
      </w:pPr>
      <w:bookmarkStart w:id="9" w:name="_Toc107481903"/>
      <w:r>
        <w:rPr>
          <w:rFonts w:hint="eastAsia"/>
        </w:rPr>
        <w:t>单位信息维护</w:t>
      </w:r>
      <w:bookmarkEnd w:id="9"/>
    </w:p>
    <w:p>
      <w:pPr>
        <w:pStyle w:val="3"/>
      </w:pPr>
      <w:bookmarkStart w:id="10" w:name="_Toc107481904"/>
      <w:r>
        <w:rPr>
          <w:rFonts w:hint="eastAsia"/>
        </w:rPr>
        <w:t>2.</w:t>
      </w:r>
      <w:r>
        <w:t>1</w:t>
      </w:r>
      <w:r>
        <w:rPr>
          <w:rFonts w:hint="eastAsia"/>
        </w:rPr>
        <w:t>项目挂接申请</w:t>
      </w:r>
      <w:bookmarkEnd w:id="10"/>
    </w:p>
    <w:p>
      <w:pPr>
        <w:ind w:firstLine="280" w:firstLineChars="100"/>
      </w:pPr>
      <w:r>
        <w:rPr>
          <w:rFonts w:hint="eastAsia"/>
        </w:rPr>
        <w:t>功能描述：单位要开具的项目未在系统中显示，并且要开具的项目可以在项目挂接申请信息填写界面勾选时，则可通过此功能向财政发起“项目挂接申请”。</w:t>
      </w:r>
    </w:p>
    <w:p>
      <w:pPr>
        <w:ind w:firstLine="280" w:firstLineChars="100"/>
      </w:pPr>
      <w:r>
        <w:rPr>
          <w:rFonts w:hint="eastAsia"/>
        </w:rPr>
        <w:t>菜单路径：【基础信息】—&gt;【单位信息维护】—&gt;【项目挂接申请】</w:t>
      </w:r>
    </w:p>
    <w:p>
      <w:pPr>
        <w:ind w:firstLine="280" w:firstLineChars="100"/>
      </w:pPr>
      <w:r>
        <w:rPr>
          <w:rFonts w:hint="eastAsia"/>
        </w:rPr>
        <w:t>操作说明：单击项目挂接申请界面左上角的“新增”按钮，选择好项目用途、生效时间、失效日期和要挂接的项目以及上传挂接项目的政策依据（包括立项文件和收费标准文件）后，单击右上角“保存”按钮。</w:t>
      </w:r>
    </w:p>
    <w:p>
      <w:r>
        <w:drawing>
          <wp:inline distT="0" distB="0" distL="0" distR="0">
            <wp:extent cx="5274310" cy="37922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274310" cy="3792220"/>
                    </a:xfrm>
                    <a:prstGeom prst="rect">
                      <a:avLst/>
                    </a:prstGeom>
                  </pic:spPr>
                </pic:pic>
              </a:graphicData>
            </a:graphic>
          </wp:inline>
        </w:drawing>
      </w:r>
    </w:p>
    <w:p>
      <w:pPr>
        <w:ind w:firstLine="560" w:firstLineChars="200"/>
      </w:pPr>
      <w:r>
        <w:rPr>
          <w:rFonts w:hint="eastAsia"/>
        </w:rPr>
        <w:t>双击打开刚刚保存的项目挂接申请，单击右上角的“审核”按钮，根据实际情况单位审核通过后，会有“单位领导审核通过”字样，等待财政审核即可。</w:t>
      </w:r>
    </w:p>
    <w:p>
      <w:r>
        <w:drawing>
          <wp:inline distT="0" distB="0" distL="114300" distR="114300">
            <wp:extent cx="5272405" cy="3626485"/>
            <wp:effectExtent l="0" t="0" r="4445"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3"/>
                    <a:stretch>
                      <a:fillRect/>
                    </a:stretch>
                  </pic:blipFill>
                  <pic:spPr>
                    <a:xfrm>
                      <a:off x="0" y="0"/>
                      <a:ext cx="5272405" cy="3626485"/>
                    </a:xfrm>
                    <a:prstGeom prst="rect">
                      <a:avLst/>
                    </a:prstGeom>
                    <a:noFill/>
                    <a:ln>
                      <a:noFill/>
                    </a:ln>
                  </pic:spPr>
                </pic:pic>
              </a:graphicData>
            </a:graphic>
          </wp:inline>
        </w:drawing>
      </w:r>
    </w:p>
    <w:p>
      <w:r>
        <w:drawing>
          <wp:inline distT="0" distB="0" distL="114300" distR="114300">
            <wp:extent cx="5273040" cy="3588385"/>
            <wp:effectExtent l="0" t="0" r="3810" b="1206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5273040" cy="3588385"/>
                    </a:xfrm>
                    <a:prstGeom prst="rect">
                      <a:avLst/>
                    </a:prstGeom>
                    <a:noFill/>
                    <a:ln>
                      <a:noFill/>
                    </a:ln>
                  </pic:spPr>
                </pic:pic>
              </a:graphicData>
            </a:graphic>
          </wp:inline>
        </w:drawing>
      </w:r>
    </w:p>
    <w:p>
      <w:pPr>
        <w:ind w:firstLine="560" w:firstLineChars="200"/>
      </w:pPr>
      <w:r>
        <w:rPr>
          <w:rFonts w:hint="eastAsia"/>
        </w:rPr>
        <w:t>财政终审通过后，单位可在项目挂接申请界面的“已挂接项目”中找到已审核通过后的项目。</w:t>
      </w:r>
    </w:p>
    <w:p>
      <w:r>
        <w:drawing>
          <wp:inline distT="0" distB="0" distL="0" distR="0">
            <wp:extent cx="5274310" cy="234696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stretch>
                      <a:fillRect/>
                    </a:stretch>
                  </pic:blipFill>
                  <pic:spPr>
                    <a:xfrm>
                      <a:off x="0" y="0"/>
                      <a:ext cx="5274310" cy="2346960"/>
                    </a:xfrm>
                    <a:prstGeom prst="rect">
                      <a:avLst/>
                    </a:prstGeom>
                  </pic:spPr>
                </pic:pic>
              </a:graphicData>
            </a:graphic>
          </wp:inline>
        </w:drawing>
      </w:r>
    </w:p>
    <w:p>
      <w:pPr>
        <w:pStyle w:val="3"/>
      </w:pPr>
      <w:bookmarkStart w:id="11" w:name="_Toc107481905"/>
      <w:r>
        <w:rPr>
          <w:rFonts w:hint="eastAsia"/>
        </w:rPr>
        <w:t>2.</w:t>
      </w:r>
      <w:r>
        <w:t>2</w:t>
      </w:r>
      <w:r>
        <w:rPr>
          <w:rFonts w:hint="eastAsia"/>
        </w:rPr>
        <w:t>单位领用证申请</w:t>
      </w:r>
      <w:bookmarkEnd w:id="11"/>
    </w:p>
    <w:p>
      <w:r>
        <w:rPr>
          <w:rFonts w:hint="eastAsia"/>
        </w:rPr>
        <w:t>功能描述：用于用票单位向财政申请电子领用证。</w:t>
      </w:r>
    </w:p>
    <w:p>
      <w:r>
        <w:rPr>
          <w:rFonts w:hint="eastAsia"/>
        </w:rPr>
        <w:t>菜单路径：【票据管理】-&gt;【领用证申请】</w:t>
      </w:r>
    </w:p>
    <w:p>
      <w:r>
        <w:rPr>
          <w:rFonts w:hint="eastAsia"/>
        </w:rPr>
        <w:t>操作说明：点击“新增”按钮，填写组织机构代码、邮政编码、单位地址、财务负责人、财务负责人电话，选择单位性质并上传对应的文件，填写完成之后点击“保存”即可。（</w:t>
      </w:r>
      <w:r>
        <w:rPr>
          <w:rFonts w:hint="eastAsia" w:ascii="华文新魏" w:eastAsia="华文新魏"/>
          <w:color w:val="FF0000"/>
        </w:rPr>
        <w:t>注：领用证申请，点击“新增”，如果提示“该单位无收费项目，请先进行项目挂接申请”，需参考2.</w:t>
      </w:r>
      <w:r>
        <w:rPr>
          <w:rFonts w:ascii="华文新魏" w:eastAsia="华文新魏"/>
          <w:color w:val="FF0000"/>
        </w:rPr>
        <w:t>1</w:t>
      </w:r>
      <w:r>
        <w:rPr>
          <w:rFonts w:hint="eastAsia" w:ascii="华文新魏" w:eastAsia="华文新魏"/>
          <w:color w:val="FF0000"/>
        </w:rPr>
        <w:t>部分进行项目挂接申请</w:t>
      </w:r>
      <w:r>
        <w:rPr>
          <w:rFonts w:hint="eastAsia"/>
          <w:color w:val="FF0000"/>
        </w:rPr>
        <w:t>）</w:t>
      </w:r>
    </w:p>
    <w:p>
      <w:pPr>
        <w:jc w:val="center"/>
      </w:pPr>
      <w:r>
        <w:drawing>
          <wp:inline distT="0" distB="0" distL="114300" distR="114300">
            <wp:extent cx="4886325" cy="2647950"/>
            <wp:effectExtent l="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4886325" cy="2647950"/>
                    </a:xfrm>
                    <a:prstGeom prst="rect">
                      <a:avLst/>
                    </a:prstGeom>
                  </pic:spPr>
                </pic:pic>
              </a:graphicData>
            </a:graphic>
          </wp:inline>
        </w:drawing>
      </w:r>
    </w:p>
    <w:p>
      <w:pPr>
        <w:jc w:val="center"/>
      </w:pPr>
      <w:r>
        <w:drawing>
          <wp:inline distT="0" distB="0" distL="0" distR="0">
            <wp:extent cx="4943475" cy="1898650"/>
            <wp:effectExtent l="0" t="0" r="952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43475" cy="1898650"/>
                    </a:xfrm>
                    <a:prstGeom prst="rect">
                      <a:avLst/>
                    </a:prstGeom>
                    <a:noFill/>
                    <a:ln>
                      <a:noFill/>
                    </a:ln>
                  </pic:spPr>
                </pic:pic>
              </a:graphicData>
            </a:graphic>
          </wp:inline>
        </w:drawing>
      </w:r>
    </w:p>
    <w:p>
      <w:pPr>
        <w:pStyle w:val="3"/>
      </w:pPr>
      <w:bookmarkStart w:id="12" w:name="_Toc107481906"/>
      <w:r>
        <w:rPr>
          <w:rFonts w:hint="eastAsia"/>
        </w:rPr>
        <w:t>2.</w:t>
      </w:r>
      <w:r>
        <w:t>3</w:t>
      </w:r>
      <w:r>
        <w:rPr>
          <w:rFonts w:hint="eastAsia"/>
        </w:rPr>
        <w:t>票据挂接申请</w:t>
      </w:r>
      <w:bookmarkEnd w:id="12"/>
    </w:p>
    <w:p>
      <w:pPr>
        <w:ind w:firstLine="280" w:firstLineChars="100"/>
      </w:pPr>
      <w:r>
        <w:rPr>
          <w:rFonts w:hint="eastAsia"/>
        </w:rPr>
        <w:t>功能描述：单位需要开具其他类型的票据时，可通过此功能向财政发起票据挂接申请。</w:t>
      </w:r>
    </w:p>
    <w:p>
      <w:pPr>
        <w:ind w:firstLine="280" w:firstLineChars="100"/>
      </w:pPr>
      <w:r>
        <w:rPr>
          <w:rFonts w:hint="eastAsia"/>
        </w:rPr>
        <w:t>菜单路径：【基础信息】—&gt;【单位信息维护】—&gt;【票据挂接申请】</w:t>
      </w:r>
    </w:p>
    <w:p>
      <w:pPr>
        <w:ind w:firstLine="280" w:firstLineChars="100"/>
      </w:pPr>
      <w:r>
        <w:rPr>
          <w:rFonts w:hint="eastAsia"/>
        </w:rPr>
        <w:t>操作说明：单击票据挂接申请界面左上角的“新增”按钮，勾选要挂接的票据类型，单击右上角“保存”按钮保存。</w:t>
      </w:r>
    </w:p>
    <w:p>
      <w:r>
        <w:drawing>
          <wp:inline distT="0" distB="0" distL="0" distR="0">
            <wp:extent cx="5274310" cy="2200275"/>
            <wp:effectExtent l="0" t="0" r="254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5274310" cy="2200275"/>
                    </a:xfrm>
                    <a:prstGeom prst="rect">
                      <a:avLst/>
                    </a:prstGeom>
                  </pic:spPr>
                </pic:pic>
              </a:graphicData>
            </a:graphic>
          </wp:inline>
        </w:drawing>
      </w:r>
    </w:p>
    <w:p>
      <w:pPr>
        <w:ind w:firstLine="560" w:firstLineChars="200"/>
      </w:pPr>
      <w:r>
        <w:rPr>
          <w:rFonts w:hint="eastAsia"/>
        </w:rPr>
        <w:t>双击打开刚刚保存的票据挂接申请，单击右上角的“审核”按钮，审核通过后等待财政终审即可。</w:t>
      </w:r>
    </w:p>
    <w:p>
      <w:r>
        <w:drawing>
          <wp:inline distT="0" distB="0" distL="0" distR="0">
            <wp:extent cx="5274310" cy="2494280"/>
            <wp:effectExtent l="0" t="0" r="254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5274310" cy="2494280"/>
                    </a:xfrm>
                    <a:prstGeom prst="rect">
                      <a:avLst/>
                    </a:prstGeom>
                  </pic:spPr>
                </pic:pic>
              </a:graphicData>
            </a:graphic>
          </wp:inline>
        </w:drawing>
      </w:r>
    </w:p>
    <w:p/>
    <w:p>
      <w:pPr>
        <w:ind w:firstLine="560" w:firstLineChars="200"/>
      </w:pPr>
      <w:r>
        <w:rPr>
          <w:rFonts w:hint="eastAsia"/>
        </w:rPr>
        <w:t>财政终审通过后，单位用户可在票据挂接申请界面的“已挂接票据”界面，找到终审通过的票据类型。</w:t>
      </w:r>
    </w:p>
    <w:p>
      <w:r>
        <w:drawing>
          <wp:inline distT="0" distB="0" distL="0" distR="0">
            <wp:extent cx="5274310" cy="239268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5274310" cy="2392680"/>
                    </a:xfrm>
                    <a:prstGeom prst="rect">
                      <a:avLst/>
                    </a:prstGeom>
                  </pic:spPr>
                </pic:pic>
              </a:graphicData>
            </a:graphic>
          </wp:inline>
        </w:drawing>
      </w:r>
    </w:p>
    <w:p>
      <w:pPr>
        <w:pStyle w:val="3"/>
      </w:pPr>
      <w:bookmarkStart w:id="13" w:name="_Toc107481907"/>
      <w:r>
        <w:rPr>
          <w:rFonts w:hint="eastAsia"/>
        </w:rPr>
        <w:t>2.</w:t>
      </w:r>
      <w:r>
        <w:t>4</w:t>
      </w:r>
      <w:r>
        <w:rPr>
          <w:rFonts w:hint="eastAsia"/>
        </w:rPr>
        <w:t>单位基础信息</w:t>
      </w:r>
      <w:bookmarkEnd w:id="13"/>
    </w:p>
    <w:p>
      <w:pPr>
        <w:ind w:firstLine="280" w:firstLineChars="100"/>
      </w:pPr>
      <w:r>
        <w:rPr>
          <w:rFonts w:hint="eastAsia"/>
        </w:rPr>
        <w:t>功能描述：单位可通过此功能查看基础信息、可用票据、可用项目、收缴管控方式等，也可修改基础信息中的单位负责人和财务负责人等。</w:t>
      </w:r>
    </w:p>
    <w:p>
      <w:pPr>
        <w:ind w:left="280" w:leftChars="100"/>
      </w:pPr>
      <w:r>
        <w:rPr>
          <w:rFonts w:hint="eastAsia"/>
        </w:rPr>
        <w:t>菜单路径：【基础信息】—&gt;【单位信息维护】—&gt;【单位基础信息】</w:t>
      </w:r>
    </w:p>
    <w:p>
      <w:pPr>
        <w:ind w:firstLine="280" w:firstLineChars="100"/>
      </w:pPr>
      <w:r>
        <w:rPr>
          <w:rFonts w:hint="eastAsia"/>
        </w:rPr>
        <w:t>操作说明：在单位基础信息界面，单击选择“基础信息”界面，可查看单位基础信息，也可单击基础信息界面左上角的“编辑”按钮，修改单位联系人和 财务负责人等信息；同时也可单击查看“可用票据”、“可用项目”、“收缴管控”等。</w:t>
      </w:r>
    </w:p>
    <w:p>
      <w:r>
        <w:drawing>
          <wp:inline distT="0" distB="0" distL="0" distR="0">
            <wp:extent cx="5274310" cy="25107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74310" cy="2510790"/>
                    </a:xfrm>
                    <a:prstGeom prst="rect">
                      <a:avLst/>
                    </a:prstGeom>
                  </pic:spPr>
                </pic:pic>
              </a:graphicData>
            </a:graphic>
          </wp:inline>
        </w:drawing>
      </w:r>
    </w:p>
    <w:p>
      <w:pPr>
        <w:pStyle w:val="3"/>
      </w:pPr>
      <w:bookmarkStart w:id="14" w:name="_Toc107481908"/>
      <w:r>
        <w:rPr>
          <w:rFonts w:hint="eastAsia"/>
        </w:rPr>
        <w:t>2.</w:t>
      </w:r>
      <w:r>
        <w:t>5</w:t>
      </w:r>
      <w:r>
        <w:rPr>
          <w:rFonts w:hint="eastAsia"/>
        </w:rPr>
        <w:t>罚没证申请</w:t>
      </w:r>
      <w:bookmarkEnd w:id="14"/>
    </w:p>
    <w:p>
      <w:pPr>
        <w:ind w:firstLine="560" w:firstLineChars="200"/>
      </w:pPr>
      <w:r>
        <w:rPr>
          <w:rFonts w:hint="eastAsia"/>
        </w:rPr>
        <w:t>功能描述：用于开具罚没项目的单位，单位在开具罚没项目时，需要先通过系统向财政提交罚没证申请。</w:t>
      </w:r>
    </w:p>
    <w:p>
      <w:pPr>
        <w:ind w:firstLine="560" w:firstLineChars="200"/>
      </w:pPr>
      <w:r>
        <w:rPr>
          <w:rFonts w:hint="eastAsia"/>
        </w:rPr>
        <w:t>菜单路径：【基础信息】—&gt;【罚没证申请】</w:t>
      </w:r>
    </w:p>
    <w:p>
      <w:pPr>
        <w:ind w:firstLine="560" w:firstLineChars="200"/>
      </w:pPr>
      <w:r>
        <w:rPr>
          <w:rFonts w:hint="eastAsia"/>
        </w:rPr>
        <w:t>操作说明：点击“新增”按钮，先选择申办类型为“首次申请”，填写处罚对象，票据名称，经办人，执法机关，执法机关地址以及新增罚没项目等信息，填写完成之后点击“保存”即可。</w:t>
      </w:r>
    </w:p>
    <w:p>
      <w:r>
        <w:drawing>
          <wp:inline distT="0" distB="0" distL="114300" distR="114300">
            <wp:extent cx="5269865" cy="3150235"/>
            <wp:effectExtent l="0" t="0" r="6985" b="1206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2"/>
                    <a:stretch>
                      <a:fillRect/>
                    </a:stretch>
                  </pic:blipFill>
                  <pic:spPr>
                    <a:xfrm>
                      <a:off x="0" y="0"/>
                      <a:ext cx="5269865" cy="3150235"/>
                    </a:xfrm>
                    <a:prstGeom prst="rect">
                      <a:avLst/>
                    </a:prstGeom>
                    <a:noFill/>
                    <a:ln>
                      <a:noFill/>
                    </a:ln>
                  </pic:spPr>
                </pic:pic>
              </a:graphicData>
            </a:graphic>
          </wp:inline>
        </w:drawing>
      </w:r>
    </w:p>
    <w:p>
      <w:r>
        <w:drawing>
          <wp:inline distT="0" distB="0" distL="0" distR="0">
            <wp:extent cx="5274310" cy="2695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2695575"/>
                    </a:xfrm>
                    <a:prstGeom prst="rect">
                      <a:avLst/>
                    </a:prstGeom>
                  </pic:spPr>
                </pic:pic>
              </a:graphicData>
            </a:graphic>
          </wp:inline>
        </w:drawing>
      </w:r>
    </w:p>
    <w:p>
      <w:pPr>
        <w:ind w:firstLine="560" w:firstLineChars="200"/>
      </w:pPr>
      <w:r>
        <w:rPr>
          <w:rFonts w:hint="eastAsia"/>
        </w:rPr>
        <w:t>双击打开已保存的罚没申请信息，点击右上角“审核”-&gt;“审核通过”，出现“单位两岗已审核完成”字样，说明单位已审核完成，等待财政审核即可，具体参考下图：</w:t>
      </w:r>
    </w:p>
    <w:p>
      <w:pPr>
        <w:ind w:firstLine="560" w:firstLineChars="200"/>
      </w:pPr>
    </w:p>
    <w:p>
      <w:r>
        <w:drawing>
          <wp:inline distT="0" distB="0" distL="114300" distR="114300">
            <wp:extent cx="4893310" cy="2922905"/>
            <wp:effectExtent l="0" t="0" r="2540" b="1079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4"/>
                    <a:stretch>
                      <a:fillRect/>
                    </a:stretch>
                  </pic:blipFill>
                  <pic:spPr>
                    <a:xfrm>
                      <a:off x="0" y="0"/>
                      <a:ext cx="4893310" cy="2922905"/>
                    </a:xfrm>
                    <a:prstGeom prst="rect">
                      <a:avLst/>
                    </a:prstGeom>
                    <a:noFill/>
                    <a:ln>
                      <a:noFill/>
                    </a:ln>
                  </pic:spPr>
                </pic:pic>
              </a:graphicData>
            </a:graphic>
          </wp:inline>
        </w:drawing>
      </w:r>
    </w:p>
    <w:p>
      <w:r>
        <w:drawing>
          <wp:inline distT="0" distB="0" distL="114300" distR="114300">
            <wp:extent cx="4888230" cy="2759710"/>
            <wp:effectExtent l="0" t="0" r="7620"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5"/>
                    <a:stretch>
                      <a:fillRect/>
                    </a:stretch>
                  </pic:blipFill>
                  <pic:spPr>
                    <a:xfrm>
                      <a:off x="0" y="0"/>
                      <a:ext cx="4888230" cy="2759710"/>
                    </a:xfrm>
                    <a:prstGeom prst="rect">
                      <a:avLst/>
                    </a:prstGeom>
                  </pic:spPr>
                </pic:pic>
              </a:graphicData>
            </a:graphic>
          </wp:inline>
        </w:drawing>
      </w:r>
    </w:p>
    <w:p>
      <w:pPr>
        <w:widowControl/>
        <w:jc w:val="left"/>
      </w:pPr>
      <w:r>
        <w:br w:type="page"/>
      </w:r>
    </w:p>
    <w:p>
      <w:pPr>
        <w:pStyle w:val="2"/>
      </w:pPr>
      <w:bookmarkStart w:id="15" w:name="_Toc22279"/>
      <w:bookmarkStart w:id="16" w:name="_Toc107481909"/>
      <w:bookmarkStart w:id="17" w:name="_Toc486433360"/>
      <w:r>
        <w:rPr>
          <w:rFonts w:hint="eastAsia"/>
        </w:rPr>
        <w:t>三、日常操作</w:t>
      </w:r>
      <w:bookmarkEnd w:id="15"/>
      <w:bookmarkEnd w:id="16"/>
      <w:bookmarkEnd w:id="17"/>
    </w:p>
    <w:p>
      <w:pPr>
        <w:pStyle w:val="3"/>
      </w:pPr>
      <w:bookmarkStart w:id="18" w:name="_Toc107481910"/>
      <w:bookmarkStart w:id="19" w:name="_Toc15702"/>
      <w:bookmarkStart w:id="20" w:name="_Toc486433365"/>
      <w:r>
        <w:rPr>
          <w:rFonts w:hint="eastAsia"/>
        </w:rPr>
        <w:t>3.1 票据申领</w:t>
      </w:r>
      <w:bookmarkEnd w:id="18"/>
      <w:bookmarkEnd w:id="19"/>
      <w:bookmarkEnd w:id="20"/>
    </w:p>
    <w:p>
      <w:pPr>
        <w:pStyle w:val="4"/>
      </w:pPr>
      <w:bookmarkStart w:id="21" w:name="_Toc107481911"/>
      <w:r>
        <w:rPr>
          <w:rFonts w:hint="eastAsia"/>
        </w:rPr>
        <w:t>3.1.1 申领票据</w:t>
      </w:r>
      <w:bookmarkEnd w:id="21"/>
    </w:p>
    <w:p>
      <w:pPr>
        <w:ind w:firstLine="207" w:firstLineChars="74"/>
      </w:pPr>
      <w:r>
        <w:rPr>
          <w:rFonts w:hint="eastAsia"/>
        </w:rPr>
        <w:t>功能描述：单位向财政申领票据。</w:t>
      </w:r>
    </w:p>
    <w:p>
      <w:pPr>
        <w:ind w:firstLine="207" w:firstLineChars="74"/>
      </w:pPr>
      <w:r>
        <w:rPr>
          <w:rFonts w:hint="eastAsia"/>
        </w:rPr>
        <w:t>菜单路径：【票据管理】—&gt;【票据申领】</w:t>
      </w:r>
    </w:p>
    <w:p>
      <w:pPr>
        <w:ind w:firstLine="207" w:firstLineChars="74"/>
      </w:pPr>
      <w:r>
        <w:rPr>
          <w:rFonts w:hint="eastAsia"/>
        </w:rPr>
        <w:t>操作说明：点击“新增”按钮，填写申领人、票据类型、数量等票据申领信息，填写完成后点击“保存”即可。</w:t>
      </w:r>
    </w:p>
    <w:p>
      <w:r>
        <w:drawing>
          <wp:inline distT="0" distB="0" distL="0" distR="0">
            <wp:extent cx="5274310" cy="32816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74310" cy="3281680"/>
                    </a:xfrm>
                    <a:prstGeom prst="rect">
                      <a:avLst/>
                    </a:prstGeom>
                  </pic:spPr>
                </pic:pic>
              </a:graphicData>
            </a:graphic>
          </wp:inline>
        </w:drawing>
      </w:r>
    </w:p>
    <w:p>
      <w:pPr>
        <w:pStyle w:val="4"/>
      </w:pPr>
      <w:bookmarkStart w:id="22" w:name="_Toc107481912"/>
      <w:r>
        <w:rPr>
          <w:rFonts w:hint="eastAsia"/>
        </w:rPr>
        <w:t>3.1.2申领审核</w:t>
      </w:r>
      <w:bookmarkEnd w:id="22"/>
    </w:p>
    <w:p>
      <w:pPr>
        <w:ind w:firstLine="560" w:firstLineChars="200"/>
      </w:pPr>
      <w:r>
        <w:rPr>
          <w:rFonts w:hint="eastAsia"/>
        </w:rPr>
        <w:t>申领信息完成“保存”后，点击“审核”—&gt;“审核通过”按钮后，出现“单位已审核完成”字样时，该条申领信息已上报到财政，等待财政审核即可，如下图：</w:t>
      </w:r>
    </w:p>
    <w:p>
      <w:r>
        <w:drawing>
          <wp:inline distT="0" distB="0" distL="0" distR="0">
            <wp:extent cx="5274310" cy="32492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274310" cy="3249295"/>
                    </a:xfrm>
                    <a:prstGeom prst="rect">
                      <a:avLst/>
                    </a:prstGeom>
                  </pic:spPr>
                </pic:pic>
              </a:graphicData>
            </a:graphic>
          </wp:inline>
        </w:drawing>
      </w:r>
    </w:p>
    <w:p>
      <w:r>
        <w:drawing>
          <wp:inline distT="0" distB="0" distL="0" distR="0">
            <wp:extent cx="5274310" cy="32492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3249295"/>
                    </a:xfrm>
                    <a:prstGeom prst="rect">
                      <a:avLst/>
                    </a:prstGeom>
                  </pic:spPr>
                </pic:pic>
              </a:graphicData>
            </a:graphic>
          </wp:inline>
        </w:drawing>
      </w:r>
    </w:p>
    <w:p>
      <w:pPr>
        <w:pStyle w:val="4"/>
      </w:pPr>
      <w:bookmarkStart w:id="23" w:name="_Toc486433367"/>
      <w:bookmarkStart w:id="24" w:name="_Toc470025490"/>
      <w:bookmarkStart w:id="25" w:name="_Toc486270960"/>
      <w:bookmarkStart w:id="26" w:name="_Toc486270652"/>
      <w:bookmarkStart w:id="27" w:name="_Toc107481913"/>
      <w:r>
        <w:rPr>
          <w:rFonts w:hint="eastAsia"/>
        </w:rPr>
        <w:t>3.1.3票据入库</w:t>
      </w:r>
      <w:bookmarkEnd w:id="23"/>
      <w:bookmarkEnd w:id="24"/>
      <w:bookmarkEnd w:id="25"/>
      <w:bookmarkEnd w:id="26"/>
      <w:bookmarkEnd w:id="27"/>
    </w:p>
    <w:p>
      <w:pPr>
        <w:ind w:firstLine="207" w:firstLineChars="74"/>
      </w:pPr>
      <w:r>
        <w:rPr>
          <w:rFonts w:hint="eastAsia"/>
        </w:rPr>
        <w:t>功能描述：财政审核通过，并将票据转出库后，单位方可对申领的票据进行入库操作。</w:t>
      </w:r>
    </w:p>
    <w:p>
      <w:pPr>
        <w:ind w:firstLine="207" w:firstLineChars="74"/>
      </w:pPr>
      <w:r>
        <w:rPr>
          <w:rFonts w:hint="eastAsia"/>
        </w:rPr>
        <w:t>菜单路径：【票据管理】—&gt;【票据入库】或点击首页右侧“待办事项”中的“票据入库”，完成票据入库。</w:t>
      </w:r>
    </w:p>
    <w:p>
      <w:r>
        <w:drawing>
          <wp:inline distT="0" distB="0" distL="0" distR="0">
            <wp:extent cx="5274310" cy="25038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74310" cy="2503805"/>
                    </a:xfrm>
                    <a:prstGeom prst="rect">
                      <a:avLst/>
                    </a:prstGeom>
                  </pic:spPr>
                </pic:pic>
              </a:graphicData>
            </a:graphic>
          </wp:inline>
        </w:drawing>
      </w:r>
    </w:p>
    <w:p>
      <w:pPr>
        <w:ind w:firstLine="487" w:firstLineChars="174"/>
      </w:pPr>
      <w:r>
        <w:rPr>
          <w:rFonts w:hint="eastAsia"/>
        </w:rPr>
        <w:t>操作说明：单击打开“票据入库”界面，双击未入库条目，在弹框右上角点击“确认入库”按钮即可。</w:t>
      </w:r>
    </w:p>
    <w:p>
      <w:pPr>
        <w:jc w:val="center"/>
      </w:pPr>
      <w:r>
        <w:drawing>
          <wp:inline distT="0" distB="0" distL="0" distR="0">
            <wp:extent cx="5192395" cy="3028315"/>
            <wp:effectExtent l="0" t="0" r="825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196237" cy="3030373"/>
                    </a:xfrm>
                    <a:prstGeom prst="rect">
                      <a:avLst/>
                    </a:prstGeom>
                  </pic:spPr>
                </pic:pic>
              </a:graphicData>
            </a:graphic>
          </wp:inline>
        </w:drawing>
      </w:r>
    </w:p>
    <w:p>
      <w:pPr>
        <w:pStyle w:val="3"/>
      </w:pPr>
      <w:bookmarkStart w:id="28" w:name="_Toc107481914"/>
      <w:r>
        <w:rPr>
          <w:rFonts w:hint="eastAsia"/>
        </w:rPr>
        <w:t>3.2票据申退</w:t>
      </w:r>
      <w:bookmarkEnd w:id="28"/>
    </w:p>
    <w:p>
      <w:pPr>
        <w:ind w:firstLine="487" w:firstLineChars="174"/>
      </w:pPr>
      <w:r>
        <w:rPr>
          <w:rFonts w:hint="eastAsia"/>
        </w:rPr>
        <w:t>功能描述：单位将已入库的票据退还给财政时，需通过此功能提交“票据申退”申请。</w:t>
      </w:r>
      <w:r>
        <w:t xml:space="preserve"> </w:t>
      </w:r>
    </w:p>
    <w:p>
      <w:pPr>
        <w:ind w:firstLine="487" w:firstLineChars="174"/>
      </w:pPr>
      <w:r>
        <w:rPr>
          <w:rFonts w:hint="eastAsia"/>
        </w:rPr>
        <w:t>菜单路径：【票据管理】—&gt;【票据申退】</w:t>
      </w:r>
    </w:p>
    <w:p>
      <w:pPr>
        <w:ind w:firstLine="487" w:firstLineChars="174"/>
      </w:pPr>
      <w:r>
        <w:rPr>
          <w:rFonts w:hint="eastAsia"/>
        </w:rPr>
        <w:t>操作说明：退票时，单位需先将票据从开票点（</w:t>
      </w:r>
      <w:r>
        <w:rPr>
          <w:rFonts w:hint="eastAsia"/>
          <w:b/>
          <w:bCs/>
          <w:sz w:val="24"/>
          <w:szCs w:val="24"/>
        </w:rPr>
        <w:t>开票点均为：“001”+“单位名称”</w:t>
      </w:r>
      <w:r>
        <w:rPr>
          <w:rFonts w:hint="eastAsia"/>
        </w:rPr>
        <w:t>）退回到单位管理点（</w:t>
      </w:r>
      <w:r>
        <w:rPr>
          <w:rFonts w:hint="eastAsia"/>
          <w:b/>
          <w:bCs/>
          <w:sz w:val="24"/>
          <w:szCs w:val="24"/>
        </w:rPr>
        <w:t>单位管理点均为：“999***”+“单位名称”</w:t>
      </w:r>
      <w:r>
        <w:rPr>
          <w:rFonts w:hint="eastAsia"/>
        </w:rPr>
        <w:t>），然后从单位管理点退回财政。首先在票据申退界面点击“新增”按钮，填写退票人、票据类型、数量等票据退票信息，填写完成后点击“保存”。</w:t>
      </w:r>
    </w:p>
    <w:p>
      <w:r>
        <w:drawing>
          <wp:inline distT="0" distB="0" distL="0" distR="0">
            <wp:extent cx="5274310" cy="324167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3241675"/>
                    </a:xfrm>
                    <a:prstGeom prst="rect">
                      <a:avLst/>
                    </a:prstGeom>
                  </pic:spPr>
                </pic:pic>
              </a:graphicData>
            </a:graphic>
          </wp:inline>
        </w:drawing>
      </w:r>
    </w:p>
    <w:p>
      <w:pPr>
        <w:ind w:firstLine="560" w:firstLineChars="200"/>
      </w:pPr>
      <w:r>
        <w:rPr>
          <w:rFonts w:hint="eastAsia"/>
        </w:rPr>
        <w:t>点击“保存”后，单击“票据管理”—&gt;“申退确认”，在申退确认界面双击打开刚刚填写好的票据申退信息，单击“确认退票”。如下图所示</w:t>
      </w:r>
      <w:r>
        <w:t>:</w:t>
      </w:r>
    </w:p>
    <w:p>
      <w:r>
        <w:drawing>
          <wp:inline distT="0" distB="0" distL="0" distR="0">
            <wp:extent cx="5274310" cy="32835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74310" cy="3283585"/>
                    </a:xfrm>
                    <a:prstGeom prst="rect">
                      <a:avLst/>
                    </a:prstGeom>
                  </pic:spPr>
                </pic:pic>
              </a:graphicData>
            </a:graphic>
          </wp:inline>
        </w:drawing>
      </w:r>
    </w:p>
    <w:p>
      <w:pPr>
        <w:ind w:firstLine="560" w:firstLineChars="200"/>
      </w:pPr>
      <w:r>
        <w:rPr>
          <w:rFonts w:hint="eastAsia"/>
        </w:rPr>
        <w:t>单击“确认退票”后，这些要退的票据便从开票点退回了管理点若需将已退回管理点的票据继续退回财政，则需再次打开【票据管理】—&gt;【票据申退】，参照下图填写好申退信息单击“保存”后，单击“审核”—&gt; “审核通过”，等待财政审核即可。参照下图：</w:t>
      </w:r>
    </w:p>
    <w:p>
      <w:pPr>
        <w:jc w:val="center"/>
      </w:pPr>
      <w:r>
        <w:drawing>
          <wp:inline distT="0" distB="0" distL="0" distR="0">
            <wp:extent cx="5060950" cy="3253105"/>
            <wp:effectExtent l="0" t="0" r="635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5064130" cy="3254761"/>
                    </a:xfrm>
                    <a:prstGeom prst="rect">
                      <a:avLst/>
                    </a:prstGeom>
                  </pic:spPr>
                </pic:pic>
              </a:graphicData>
            </a:graphic>
          </wp:inline>
        </w:drawing>
      </w:r>
    </w:p>
    <w:p>
      <w:pPr>
        <w:jc w:val="center"/>
      </w:pPr>
      <w:r>
        <w:drawing>
          <wp:inline distT="0" distB="0" distL="0" distR="0">
            <wp:extent cx="5146040" cy="297370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5155824" cy="2979454"/>
                    </a:xfrm>
                    <a:prstGeom prst="rect">
                      <a:avLst/>
                    </a:prstGeom>
                  </pic:spPr>
                </pic:pic>
              </a:graphicData>
            </a:graphic>
          </wp:inline>
        </w:drawing>
      </w:r>
    </w:p>
    <w:p>
      <w:pPr>
        <w:pStyle w:val="3"/>
      </w:pPr>
      <w:bookmarkStart w:id="29" w:name="_Toc107481915"/>
      <w:r>
        <w:rPr>
          <w:rFonts w:hint="eastAsia"/>
        </w:rPr>
        <w:t>3.3开电子缴款书</w:t>
      </w:r>
      <w:bookmarkEnd w:id="29"/>
    </w:p>
    <w:p>
      <w:pPr>
        <w:pStyle w:val="4"/>
        <w:rPr>
          <w:rFonts w:hint="eastAsia"/>
        </w:rPr>
      </w:pPr>
      <w:bookmarkStart w:id="30" w:name="_Toc107481916"/>
      <w:r>
        <w:rPr>
          <w:rFonts w:hint="eastAsia"/>
        </w:rPr>
        <w:t>3.3.1 开电子缴款书</w:t>
      </w:r>
      <w:bookmarkEnd w:id="30"/>
    </w:p>
    <w:p>
      <w:pPr>
        <w:rPr>
          <w:rFonts w:hint="default" w:eastAsia="仿宋"/>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如何开具缴款书，以及对应的缴费方式</w:t>
      </w:r>
    </w:p>
    <w:p>
      <w:pPr>
        <w:ind w:firstLine="560" w:firstLineChars="200"/>
      </w:pPr>
      <w:r>
        <w:rPr>
          <w:rFonts w:hint="eastAsia"/>
        </w:rPr>
        <w:t>菜单路径：【开票管理】—&gt;【开缴款通知书】</w:t>
      </w:r>
    </w:p>
    <w:p>
      <w:pPr>
        <w:ind w:firstLine="560" w:firstLineChars="200"/>
        <w:rPr>
          <w:rFonts w:hint="eastAsia"/>
        </w:rPr>
      </w:pPr>
      <w:r>
        <w:rPr>
          <w:rFonts w:hint="eastAsia"/>
        </w:rPr>
        <w:t>操作说明：在开电子缴款书界面点击“新增”按钮，输入缴款人信息，选择开具项目，输入数量和金额，点击右上“保存”按钮，选填部分可根据情况维护。</w:t>
      </w:r>
    </w:p>
    <w:p>
      <w:pPr>
        <w:ind w:firstLine="560" w:firstLineChars="200"/>
      </w:pPr>
      <w:r>
        <w:drawing>
          <wp:inline distT="0" distB="0" distL="114300" distR="114300">
            <wp:extent cx="4163060" cy="2245995"/>
            <wp:effectExtent l="0" t="0" r="2540" b="19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5"/>
                    <a:stretch>
                      <a:fillRect/>
                    </a:stretch>
                  </pic:blipFill>
                  <pic:spPr>
                    <a:xfrm>
                      <a:off x="0" y="0"/>
                      <a:ext cx="4163060" cy="2245995"/>
                    </a:xfrm>
                    <a:prstGeom prst="rect">
                      <a:avLst/>
                    </a:prstGeom>
                    <a:noFill/>
                    <a:ln>
                      <a:noFill/>
                    </a:ln>
                  </pic:spPr>
                </pic:pic>
              </a:graphicData>
            </a:graphic>
          </wp:inline>
        </w:drawing>
      </w:r>
    </w:p>
    <w:p>
      <w:pPr>
        <w:ind w:firstLine="560" w:firstLineChars="200"/>
        <w:rPr>
          <w:rFonts w:ascii="仿宋" w:hAnsi="仿宋" w:eastAsia="仿宋" w:cs="仿宋"/>
          <w:sz w:val="28"/>
          <w:szCs w:val="28"/>
        </w:rPr>
      </w:pPr>
      <w:r>
        <w:rPr>
          <w:rFonts w:ascii="仿宋" w:hAnsi="仿宋" w:eastAsia="仿宋" w:cs="仿宋"/>
          <w:sz w:val="28"/>
          <w:szCs w:val="28"/>
        </w:rPr>
        <w:t>a.</w:t>
      </w:r>
      <w:r>
        <w:rPr>
          <w:rFonts w:hint="eastAsia" w:ascii="仿宋" w:hAnsi="仿宋" w:eastAsia="仿宋" w:cs="仿宋"/>
          <w:sz w:val="28"/>
          <w:szCs w:val="28"/>
        </w:rPr>
        <w:t>通过微信、支付宝直接扫描打印电子缴款书上面的二维码进行缴款（金额要在支付宝微信的限额内）</w:t>
      </w:r>
    </w:p>
    <w:p>
      <w:pPr>
        <w:ind w:firstLine="560" w:firstLineChars="200"/>
        <w:rPr>
          <w:rFonts w:ascii="仿宋" w:hAnsi="仿宋" w:eastAsia="仿宋" w:cs="仿宋"/>
          <w:sz w:val="28"/>
          <w:szCs w:val="28"/>
        </w:rPr>
      </w:pPr>
      <w:r>
        <w:rPr>
          <w:rFonts w:hint="eastAsia" w:ascii="仿宋" w:hAnsi="仿宋" w:eastAsia="仿宋" w:cs="仿宋"/>
          <w:sz w:val="28"/>
          <w:szCs w:val="28"/>
        </w:rPr>
        <w:t>b.登录陕西省政务服务网完成缴费</w:t>
      </w:r>
      <w:r>
        <w:rPr>
          <w:rFonts w:ascii="仿宋" w:hAnsi="仿宋" w:eastAsia="仿宋" w:cs="仿宋"/>
          <w:sz w:val="28"/>
          <w:szCs w:val="28"/>
        </w:rPr>
        <w:br w:type="textWrapping"/>
      </w:r>
      <w:r>
        <w:rPr>
          <w:rFonts w:ascii="仿宋" w:hAnsi="仿宋" w:eastAsia="仿宋" w:cs="仿宋"/>
          <w:sz w:val="28"/>
          <w:szCs w:val="28"/>
        </w:rPr>
        <w:t xml:space="preserve">    </w:t>
      </w:r>
      <w:r>
        <w:rPr>
          <w:rFonts w:hint="eastAsia" w:ascii="仿宋" w:hAnsi="仿宋" w:eastAsia="仿宋" w:cs="仿宋"/>
          <w:sz w:val="28"/>
          <w:szCs w:val="28"/>
        </w:rPr>
        <w:t>c.非税代理银行柜面（或代理银行提供的其他渠道，例如网银、手机银行）进行缴费。</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d</w:t>
      </w:r>
      <w:r>
        <w:rPr>
          <w:rFonts w:ascii="仿宋" w:hAnsi="仿宋" w:eastAsia="仿宋" w:cs="仿宋"/>
          <w:sz w:val="28"/>
          <w:szCs w:val="28"/>
        </w:rPr>
        <w:t>.</w:t>
      </w:r>
      <w:r>
        <w:rPr>
          <w:rFonts w:hint="eastAsia" w:ascii="仿宋" w:hAnsi="仿宋" w:eastAsia="仿宋" w:cs="仿宋"/>
          <w:sz w:val="28"/>
          <w:szCs w:val="28"/>
        </w:rPr>
        <w:t>转账业务，必须付款行的开户行在代理行范围内，可以去代理行柜面进行同行转账（只支持同行转账）</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e.</w:t>
      </w:r>
      <w:r>
        <w:rPr>
          <w:rFonts w:hint="eastAsia" w:ascii="仿宋" w:hAnsi="仿宋" w:eastAsia="仿宋" w:cs="仿宋"/>
          <w:sz w:val="28"/>
          <w:szCs w:val="28"/>
        </w:rPr>
        <w:t>开具前，让缴款人先关注陕西省财政厅微信公众号，进行手机号绑定，执收单位开具好缴款书后，可以在微信公众号完成缴费</w:t>
      </w:r>
    </w:p>
    <w:p>
      <w:pPr>
        <w:rPr>
          <w:rFonts w:hint="eastAsia"/>
          <w:b/>
          <w:bCs/>
          <w:lang w:val="en-US" w:eastAsia="zh-CN"/>
        </w:rPr>
      </w:pPr>
      <w:r>
        <w:rPr>
          <w:rFonts w:hint="eastAsia"/>
          <w:b/>
          <w:bCs/>
          <w:lang w:val="en-US" w:eastAsia="zh-CN"/>
        </w:rPr>
        <w:t>（2）如何开具带有收款账号的缴款书，以及对应的缴费方式</w:t>
      </w:r>
    </w:p>
    <w:p>
      <w:pPr>
        <w:ind w:firstLine="560" w:firstLineChars="200"/>
      </w:pPr>
      <w:r>
        <w:rPr>
          <w:rFonts w:hint="eastAsia"/>
        </w:rPr>
        <w:t>菜单路径：【开票管理】—</w:t>
      </w:r>
      <w:bookmarkStart w:id="65" w:name="_GoBack"/>
      <w:bookmarkEnd w:id="65"/>
      <w:r>
        <w:rPr>
          <w:rFonts w:hint="eastAsia"/>
        </w:rPr>
        <w:t>&gt;【开缴款通知书】</w:t>
      </w:r>
    </w:p>
    <w:p>
      <w:pPr>
        <w:ind w:firstLine="560" w:firstLineChars="200"/>
        <w:rPr>
          <w:rFonts w:hint="default"/>
          <w:b/>
          <w:bCs/>
          <w:lang w:val="en-US" w:eastAsia="zh-CN"/>
        </w:rPr>
      </w:pPr>
      <w:r>
        <w:rPr>
          <w:rFonts w:hint="eastAsia"/>
        </w:rPr>
        <w:t>操作说明：在开电子缴款书界面点击“新增”按钮，输入缴款人</w:t>
      </w:r>
      <w:r>
        <w:rPr>
          <w:rFonts w:hint="eastAsia"/>
          <w:lang w:val="en-US" w:eastAsia="zh-CN"/>
        </w:rPr>
        <w:t>全称，点击收款人全称后面三个小点，勾选跨行转账，选择银行，点击“收款账号”，输入手机号，选择需要开具的项目，数量，标准，金额等</w:t>
      </w:r>
      <w:r>
        <w:rPr>
          <w:rFonts w:hint="eastAsia"/>
        </w:rPr>
        <w:t>。</w:t>
      </w:r>
    </w:p>
    <w:p>
      <w:pPr>
        <w:ind w:firstLine="560" w:firstLineChars="200"/>
      </w:pPr>
      <w:r>
        <w:drawing>
          <wp:inline distT="0" distB="0" distL="114300" distR="114300">
            <wp:extent cx="5262245" cy="2816225"/>
            <wp:effectExtent l="0" t="0" r="8255"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6"/>
                    <a:stretch>
                      <a:fillRect/>
                    </a:stretch>
                  </pic:blipFill>
                  <pic:spPr>
                    <a:xfrm>
                      <a:off x="0" y="0"/>
                      <a:ext cx="5262245" cy="2816225"/>
                    </a:xfrm>
                    <a:prstGeom prst="rect">
                      <a:avLst/>
                    </a:prstGeom>
                    <a:noFill/>
                    <a:ln>
                      <a:noFill/>
                    </a:ln>
                  </pic:spPr>
                </pic:pic>
              </a:graphicData>
            </a:graphic>
          </wp:inline>
        </w:drawing>
      </w:r>
    </w:p>
    <w:p>
      <w:pPr>
        <w:ind w:firstLine="560" w:firstLineChars="200"/>
        <w:rPr>
          <w:rFonts w:ascii="仿宋" w:hAnsi="仿宋" w:eastAsia="仿宋" w:cs="仿宋"/>
          <w:color w:val="FF0000"/>
          <w:sz w:val="28"/>
          <w:szCs w:val="28"/>
        </w:rPr>
      </w:pPr>
      <w:r>
        <w:rPr>
          <w:rFonts w:hint="eastAsia" w:ascii="仿宋" w:hAnsi="仿宋" w:eastAsia="仿宋" w:cs="仿宋"/>
          <w:sz w:val="28"/>
          <w:szCs w:val="28"/>
        </w:rPr>
        <w:t>a</w:t>
      </w:r>
      <w:r>
        <w:rPr>
          <w:rFonts w:ascii="仿宋" w:hAnsi="仿宋" w:eastAsia="仿宋" w:cs="仿宋"/>
          <w:sz w:val="28"/>
          <w:szCs w:val="28"/>
        </w:rPr>
        <w:t>.</w:t>
      </w:r>
      <w:r>
        <w:rPr>
          <w:rFonts w:hint="eastAsia" w:ascii="仿宋" w:hAnsi="仿宋" w:eastAsia="仿宋" w:cs="仿宋"/>
          <w:sz w:val="28"/>
          <w:szCs w:val="28"/>
        </w:rPr>
        <w:t>可以通过网银线上转账（</w:t>
      </w:r>
      <w:r>
        <w:rPr>
          <w:rFonts w:hint="eastAsia" w:ascii="仿宋" w:hAnsi="仿宋" w:eastAsia="仿宋" w:cs="仿宋"/>
          <w:color w:val="FF0000"/>
          <w:sz w:val="28"/>
          <w:szCs w:val="28"/>
        </w:rPr>
        <w:t>注：转账金额要与缴款书金额一致，不能分多次缴纳）</w:t>
      </w:r>
      <w:r>
        <w:rPr>
          <w:rFonts w:ascii="仿宋" w:hAnsi="仿宋" w:eastAsia="仿宋" w:cs="仿宋"/>
          <w:color w:val="FF0000"/>
          <w:sz w:val="28"/>
          <w:szCs w:val="28"/>
        </w:rPr>
        <w:br w:type="textWrapping"/>
      </w:r>
      <w:r>
        <w:rPr>
          <w:rFonts w:hint="eastAsia" w:ascii="仿宋" w:hAnsi="仿宋" w:eastAsia="仿宋" w:cs="仿宋"/>
          <w:sz w:val="28"/>
          <w:szCs w:val="28"/>
        </w:rPr>
        <w:t xml:space="preserve"> </w:t>
      </w:r>
      <w:r>
        <w:rPr>
          <w:rFonts w:ascii="仿宋" w:hAnsi="仿宋" w:eastAsia="仿宋" w:cs="仿宋"/>
          <w:sz w:val="28"/>
          <w:szCs w:val="28"/>
        </w:rPr>
        <w:t xml:space="preserve">   </w:t>
      </w:r>
      <w:r>
        <w:rPr>
          <w:rFonts w:hint="eastAsia" w:ascii="仿宋" w:hAnsi="仿宋" w:eastAsia="仿宋" w:cs="仿宋"/>
          <w:sz w:val="28"/>
          <w:szCs w:val="28"/>
        </w:rPr>
        <w:t>b</w:t>
      </w:r>
      <w:r>
        <w:rPr>
          <w:rFonts w:ascii="仿宋" w:hAnsi="仿宋" w:eastAsia="仿宋" w:cs="仿宋"/>
          <w:sz w:val="28"/>
          <w:szCs w:val="28"/>
        </w:rPr>
        <w:t>.</w:t>
      </w:r>
      <w:r>
        <w:rPr>
          <w:rFonts w:hint="eastAsia" w:ascii="仿宋" w:hAnsi="仿宋" w:eastAsia="仿宋" w:cs="仿宋"/>
          <w:sz w:val="28"/>
          <w:szCs w:val="28"/>
        </w:rPr>
        <w:t>缴款人或缴款单位缴款账户所在行进行柜面转账业务</w:t>
      </w:r>
      <w:r>
        <w:rPr>
          <w:rFonts w:hint="eastAsia" w:ascii="仿宋" w:hAnsi="仿宋" w:eastAsia="仿宋" w:cs="仿宋"/>
          <w:color w:val="FF0000"/>
          <w:sz w:val="28"/>
          <w:szCs w:val="28"/>
        </w:rPr>
        <w:t>（注：转账金额要与缴款书金额一致，不能分多次缴纳）</w:t>
      </w:r>
    </w:p>
    <w:p>
      <w:pPr>
        <w:ind w:firstLine="560" w:firstLineChars="200"/>
        <w:rPr>
          <w:rFonts w:hint="default"/>
          <w:lang w:val="en-US" w:eastAsia="zh-CN"/>
        </w:rPr>
      </w:pPr>
      <w:r>
        <w:rPr>
          <w:rFonts w:hint="eastAsia" w:ascii="仿宋" w:hAnsi="仿宋" w:eastAsia="仿宋" w:cs="仿宋"/>
          <w:sz w:val="28"/>
          <w:szCs w:val="28"/>
        </w:rPr>
        <w:t>c．手机银行线上转账</w:t>
      </w:r>
      <w:r>
        <w:rPr>
          <w:rFonts w:hint="eastAsia" w:ascii="仿宋" w:hAnsi="仿宋" w:eastAsia="仿宋" w:cs="仿宋"/>
          <w:color w:val="FF0000"/>
          <w:sz w:val="28"/>
          <w:szCs w:val="28"/>
        </w:rPr>
        <w:t>（注：转账金额要与缴款书金额一致，不能分多次缴纳）</w:t>
      </w:r>
    </w:p>
    <w:p>
      <w:pPr>
        <w:pStyle w:val="4"/>
      </w:pPr>
      <w:bookmarkStart w:id="31" w:name="_Toc107481917"/>
      <w:r>
        <w:rPr>
          <w:rFonts w:hint="eastAsia"/>
        </w:rPr>
        <w:t>3.3.2通知缴款</w:t>
      </w:r>
      <w:bookmarkEnd w:id="31"/>
    </w:p>
    <w:p>
      <w:pPr>
        <w:ind w:firstLine="560" w:firstLineChars="200"/>
      </w:pPr>
      <w:r>
        <w:rPr>
          <w:rFonts w:hint="eastAsia"/>
        </w:rPr>
        <w:t>操作说明：单击“保存”后，</w:t>
      </w:r>
      <w:r>
        <w:rPr>
          <w:rFonts w:hint="eastAsia"/>
          <w:lang w:val="en-US" w:eastAsia="zh-CN"/>
        </w:rPr>
        <w:t>会进行微信公众号通知，缴款人在微信公众号上会收到对应的缴费通知</w:t>
      </w:r>
      <w:r>
        <w:rPr>
          <w:rFonts w:hint="eastAsia"/>
        </w:rPr>
        <w:t>。</w:t>
      </w:r>
    </w:p>
    <w:p>
      <w:pPr>
        <w:jc w:val="center"/>
        <w:rPr>
          <w:rFonts w:hint="eastAsia" w:eastAsia="仿宋"/>
          <w:lang w:eastAsia="zh-CN"/>
        </w:rPr>
      </w:pPr>
      <w:r>
        <w:rPr>
          <w:rFonts w:hint="eastAsia" w:eastAsia="仿宋"/>
          <w:lang w:eastAsia="zh-CN"/>
        </w:rPr>
        <w:drawing>
          <wp:inline distT="0" distB="0" distL="114300" distR="114300">
            <wp:extent cx="3028950" cy="2279650"/>
            <wp:effectExtent l="0" t="0" r="6350" b="6350"/>
            <wp:docPr id="7" name="图片 7" descr="168765659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7656590860"/>
                    <pic:cNvPicPr>
                      <a:picLocks noChangeAspect="1"/>
                    </pic:cNvPicPr>
                  </pic:nvPicPr>
                  <pic:blipFill>
                    <a:blip r:embed="rId37"/>
                    <a:stretch>
                      <a:fillRect/>
                    </a:stretch>
                  </pic:blipFill>
                  <pic:spPr>
                    <a:xfrm>
                      <a:off x="0" y="0"/>
                      <a:ext cx="3028950" cy="2279650"/>
                    </a:xfrm>
                    <a:prstGeom prst="rect">
                      <a:avLst/>
                    </a:prstGeom>
                  </pic:spPr>
                </pic:pic>
              </a:graphicData>
            </a:graphic>
          </wp:inline>
        </w:drawing>
      </w:r>
    </w:p>
    <w:p>
      <w:pPr>
        <w:pStyle w:val="4"/>
      </w:pPr>
      <w:bookmarkStart w:id="32" w:name="_Toc107481918"/>
      <w:r>
        <w:rPr>
          <w:rFonts w:hint="eastAsia"/>
        </w:rPr>
        <w:t>3.3.3打印电子缴款书</w:t>
      </w:r>
      <w:bookmarkEnd w:id="32"/>
    </w:p>
    <w:p>
      <w:pPr>
        <w:ind w:firstLine="560" w:firstLineChars="200"/>
      </w:pPr>
      <w:r>
        <w:rPr>
          <w:rFonts w:hint="eastAsia"/>
        </w:rPr>
        <w:t>操作说明：单击“通知缴款”，单击“打印电子缴款书”，可通过微信、支付宝扫码直接缴款，也可以单击“打印”，将已开具的缴款书打印出来。</w:t>
      </w:r>
    </w:p>
    <w:p>
      <w:r>
        <w:drawing>
          <wp:inline distT="0" distB="0" distL="0" distR="0">
            <wp:extent cx="5274310" cy="3200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5274310" cy="3200400"/>
                    </a:xfrm>
                    <a:prstGeom prst="rect">
                      <a:avLst/>
                    </a:prstGeom>
                  </pic:spPr>
                </pic:pic>
              </a:graphicData>
            </a:graphic>
          </wp:inline>
        </w:drawing>
      </w:r>
    </w:p>
    <w:p>
      <w:pPr>
        <w:ind w:firstLine="560" w:firstLineChars="200"/>
      </w:pPr>
      <w:r>
        <w:rPr>
          <w:rFonts w:hint="eastAsia"/>
        </w:rPr>
        <w:t>缴完款后，单击“刷新当前”，缴款书状态会更新为“已缴款”，同时，系统会自动换开电子票据。</w:t>
      </w:r>
    </w:p>
    <w:p>
      <w:r>
        <w:drawing>
          <wp:inline distT="0" distB="0" distL="0" distR="0">
            <wp:extent cx="5274310" cy="181419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stretch>
                      <a:fillRect/>
                    </a:stretch>
                  </pic:blipFill>
                  <pic:spPr>
                    <a:xfrm>
                      <a:off x="0" y="0"/>
                      <a:ext cx="5274310" cy="1814195"/>
                    </a:xfrm>
                    <a:prstGeom prst="rect">
                      <a:avLst/>
                    </a:prstGeom>
                  </pic:spPr>
                </pic:pic>
              </a:graphicData>
            </a:graphic>
          </wp:inline>
        </w:drawing>
      </w:r>
    </w:p>
    <w:p>
      <w:pPr>
        <w:pStyle w:val="4"/>
      </w:pPr>
      <w:bookmarkStart w:id="33" w:name="_Toc107481919"/>
      <w:r>
        <w:rPr>
          <w:rFonts w:hint="eastAsia"/>
        </w:rPr>
        <w:t>3.3.4查看电子票</w:t>
      </w:r>
      <w:bookmarkEnd w:id="33"/>
    </w:p>
    <w:p>
      <w:pPr>
        <w:ind w:firstLine="560" w:firstLineChars="200"/>
      </w:pPr>
      <w:r>
        <w:rPr>
          <w:rFonts w:hint="eastAsia"/>
        </w:rPr>
        <w:t>操作说明：双击打开已缴款的缴款通知书，单击“查看电子票”，也可单击“打印”，将电子票打印出来。</w:t>
      </w:r>
    </w:p>
    <w:p>
      <w:r>
        <w:drawing>
          <wp:inline distT="0" distB="0" distL="0" distR="0">
            <wp:extent cx="5274310" cy="3498215"/>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a:stretch>
                      <a:fillRect/>
                    </a:stretch>
                  </pic:blipFill>
                  <pic:spPr>
                    <a:xfrm>
                      <a:off x="0" y="0"/>
                      <a:ext cx="5274310" cy="3498215"/>
                    </a:xfrm>
                    <a:prstGeom prst="rect">
                      <a:avLst/>
                    </a:prstGeom>
                  </pic:spPr>
                </pic:pic>
              </a:graphicData>
            </a:graphic>
          </wp:inline>
        </w:drawing>
      </w:r>
    </w:p>
    <w:p>
      <w:pPr>
        <w:pStyle w:val="4"/>
      </w:pPr>
      <w:bookmarkStart w:id="34" w:name="_Toc107481920"/>
      <w:r>
        <w:rPr>
          <w:rFonts w:hint="eastAsia"/>
        </w:rPr>
        <w:t>3.3.5退付</w:t>
      </w:r>
      <w:bookmarkEnd w:id="34"/>
    </w:p>
    <w:p>
      <w:pPr>
        <w:ind w:firstLine="560" w:firstLineChars="200"/>
      </w:pPr>
      <w:r>
        <w:rPr>
          <w:rFonts w:hint="eastAsia"/>
        </w:rPr>
        <w:t>功能描述：缴款人已缴款后，因多缴、错缴或者政策调整需要退费的情况，执收单位可通过填写“收入退付申请”来 退费。</w:t>
      </w:r>
    </w:p>
    <w:p>
      <w:pPr>
        <w:ind w:firstLine="560" w:firstLineChars="200"/>
      </w:pPr>
      <w:r>
        <w:rPr>
          <w:rFonts w:hint="eastAsia"/>
        </w:rPr>
        <w:t>菜单路径：【收缴管理】—&gt;【收入退付申请】</w:t>
      </w:r>
    </w:p>
    <w:p>
      <w:pPr>
        <w:ind w:firstLine="560" w:firstLineChars="200"/>
      </w:pPr>
      <w:r>
        <w:rPr>
          <w:rFonts w:hint="eastAsia"/>
        </w:rPr>
        <w:t>操作说明：在收入退付申请界面，点击“新增”按钮，输入缴款码，点击搜索后，系统会自动填充原缴款信息，需手动输入现退款信息中的收款人开户行、联系电话、退付原因、退付金额等信息，然后单击“保存”后，关闭当前窗口。</w:t>
      </w:r>
    </w:p>
    <w:p>
      <w:r>
        <w:drawing>
          <wp:inline distT="0" distB="0" distL="0" distR="0">
            <wp:extent cx="5274310" cy="3211830"/>
            <wp:effectExtent l="0" t="0" r="254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stretch>
                      <a:fillRect/>
                    </a:stretch>
                  </pic:blipFill>
                  <pic:spPr>
                    <a:xfrm>
                      <a:off x="0" y="0"/>
                      <a:ext cx="5274310" cy="3211830"/>
                    </a:xfrm>
                    <a:prstGeom prst="rect">
                      <a:avLst/>
                    </a:prstGeom>
                  </pic:spPr>
                </pic:pic>
              </a:graphicData>
            </a:graphic>
          </wp:inline>
        </w:drawing>
      </w:r>
    </w:p>
    <w:p>
      <w:r>
        <w:rPr>
          <w:rFonts w:hint="eastAsia"/>
        </w:rPr>
        <w:t xml:space="preserve"> </w:t>
      </w:r>
      <w:r>
        <w:t xml:space="preserve">   </w:t>
      </w:r>
      <w:r>
        <w:rPr>
          <w:rFonts w:hint="eastAsia"/>
        </w:rPr>
        <w:t>在收入退付申请界面中，找到选择需要审核的退付申请，单击操作一栏中的“审核”按钮，根据情况单击“初审通过”或“初审退回”，单位提交的收入退付申请，先需要进行两岗审核，审核通过后，等待财政审核，如下图所示。</w:t>
      </w:r>
    </w:p>
    <w:p>
      <w:pPr>
        <w:jc w:val="center"/>
      </w:pPr>
      <w:r>
        <w:drawing>
          <wp:inline distT="0" distB="0" distL="0" distR="0">
            <wp:extent cx="5156200" cy="3334385"/>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2"/>
                    <a:stretch>
                      <a:fillRect/>
                    </a:stretch>
                  </pic:blipFill>
                  <pic:spPr>
                    <a:xfrm>
                      <a:off x="0" y="0"/>
                      <a:ext cx="5166631" cy="3341588"/>
                    </a:xfrm>
                    <a:prstGeom prst="rect">
                      <a:avLst/>
                    </a:prstGeom>
                  </pic:spPr>
                </pic:pic>
              </a:graphicData>
            </a:graphic>
          </wp:inline>
        </w:drawing>
      </w:r>
    </w:p>
    <w:p>
      <w:pPr>
        <w:pStyle w:val="3"/>
      </w:pPr>
      <w:bookmarkStart w:id="35" w:name="_Toc107481921"/>
      <w:r>
        <w:rPr>
          <w:rFonts w:hint="eastAsia"/>
        </w:rPr>
        <w:t>3</w:t>
      </w:r>
      <w:r>
        <w:t>.4</w:t>
      </w:r>
      <w:r>
        <w:rPr>
          <w:rFonts w:hint="eastAsia"/>
        </w:rPr>
        <w:t>批量开电子缴款书</w:t>
      </w:r>
      <w:bookmarkEnd w:id="35"/>
    </w:p>
    <w:p>
      <w:pPr>
        <w:pStyle w:val="4"/>
      </w:pPr>
      <w:bookmarkStart w:id="36" w:name="_Toc107481922"/>
      <w:r>
        <w:rPr>
          <w:rFonts w:hint="eastAsia"/>
        </w:rPr>
        <w:t>3</w:t>
      </w:r>
      <w:r>
        <w:t>.4.1</w:t>
      </w:r>
      <w:r>
        <w:rPr>
          <w:rFonts w:hint="eastAsia"/>
        </w:rPr>
        <w:t>批量导入模板下载</w:t>
      </w:r>
      <w:bookmarkEnd w:id="36"/>
    </w:p>
    <w:p>
      <w:pPr>
        <w:ind w:firstLine="560" w:firstLineChars="200"/>
      </w:pPr>
      <w:r>
        <w:rPr>
          <w:rFonts w:hint="eastAsia"/>
        </w:rPr>
        <w:t>在【开票管理】-&gt;【批量开电子缴款书】点击“导入”按钮，选择票据类型和票据代码，然后点击右上角“下载e</w:t>
      </w:r>
      <w:r>
        <w:t>xcel</w:t>
      </w:r>
      <w:r>
        <w:rPr>
          <w:rFonts w:hint="eastAsia"/>
        </w:rPr>
        <w:t>模板”。</w:t>
      </w:r>
    </w:p>
    <w:p>
      <w:r>
        <w:drawing>
          <wp:inline distT="0" distB="0" distL="0" distR="0">
            <wp:extent cx="5274310" cy="1939925"/>
            <wp:effectExtent l="0" t="0" r="254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1939925"/>
                    </a:xfrm>
                    <a:prstGeom prst="rect">
                      <a:avLst/>
                    </a:prstGeom>
                  </pic:spPr>
                </pic:pic>
              </a:graphicData>
            </a:graphic>
          </wp:inline>
        </w:drawing>
      </w:r>
    </w:p>
    <w:p>
      <w:pPr>
        <w:pStyle w:val="4"/>
      </w:pPr>
      <w:bookmarkStart w:id="37" w:name="_Toc107481923"/>
      <w:r>
        <w:rPr>
          <w:rFonts w:hint="eastAsia"/>
        </w:rPr>
        <w:t>3</w:t>
      </w:r>
      <w:r>
        <w:t>.4.2</w:t>
      </w:r>
      <w:r>
        <w:rPr>
          <w:rFonts w:hint="eastAsia"/>
        </w:rPr>
        <w:t>批量导入模板信息填写规范</w:t>
      </w:r>
      <w:bookmarkEnd w:id="37"/>
    </w:p>
    <w:p>
      <w:pPr>
        <w:ind w:firstLine="560"/>
      </w:pPr>
      <w:r>
        <w:rPr>
          <w:rFonts w:hint="eastAsia"/>
        </w:rPr>
        <w:t>打开下载模板，填写表格列右上角标识必填项。</w:t>
      </w:r>
    </w:p>
    <w:p>
      <w:pPr>
        <w:ind w:firstLine="560"/>
      </w:pPr>
      <w:r>
        <w:rPr>
          <w:rFonts w:hint="eastAsia"/>
        </w:rPr>
        <w:t>‘</w:t>
      </w:r>
      <w:r>
        <w:rPr>
          <w:rFonts w:hint="eastAsia"/>
          <w:b/>
          <w:bCs/>
        </w:rPr>
        <w:t>转入开票点</w:t>
      </w:r>
      <w:r>
        <w:rPr>
          <w:rFonts w:hint="eastAsia"/>
        </w:rPr>
        <w:t>’：001（无系统设置多个开票点情况下默认001，如有多个开票点以实际情况填写）；</w:t>
      </w:r>
    </w:p>
    <w:p>
      <w:pPr>
        <w:ind w:firstLine="560"/>
      </w:pPr>
      <w:r>
        <w:rPr>
          <w:rFonts w:hint="eastAsia"/>
        </w:rPr>
        <w:t>‘</w:t>
      </w:r>
      <w:r>
        <w:rPr>
          <w:rFonts w:hint="eastAsia"/>
          <w:b/>
          <w:bCs/>
        </w:rPr>
        <w:t>日期</w:t>
      </w:r>
      <w:r>
        <w:rPr>
          <w:rFonts w:hint="eastAsia"/>
        </w:rPr>
        <w:t>’：导入开电子缴款书日期。日期格式如：2021-08-25；</w:t>
      </w:r>
    </w:p>
    <w:p>
      <w:pPr>
        <w:ind w:firstLine="560"/>
      </w:pPr>
      <w:r>
        <w:rPr>
          <w:rFonts w:hint="eastAsia"/>
        </w:rPr>
        <w:t>‘</w:t>
      </w:r>
      <w:r>
        <w:rPr>
          <w:rFonts w:hint="eastAsia"/>
          <w:b/>
          <w:bCs/>
        </w:rPr>
        <w:t>付款人名称</w:t>
      </w:r>
      <w:r>
        <w:rPr>
          <w:rFonts w:hint="eastAsia"/>
        </w:rPr>
        <w:t>’：此笔业务对应的缴款人名称；</w:t>
      </w:r>
    </w:p>
    <w:p>
      <w:pPr>
        <w:ind w:firstLine="560"/>
      </w:pPr>
      <w:r>
        <w:rPr>
          <w:rFonts w:hint="eastAsia"/>
        </w:rPr>
        <w:t>‘</w:t>
      </w:r>
      <w:r>
        <w:rPr>
          <w:rFonts w:hint="eastAsia"/>
          <w:b/>
          <w:bCs/>
        </w:rPr>
        <w:t>付款人手机号</w:t>
      </w:r>
      <w:r>
        <w:rPr>
          <w:rFonts w:hint="eastAsia"/>
        </w:rPr>
        <w:t>’：填写手机号后，缴款人缴款完成之后，会通过短信将电子票据相关查验信息告知填写手机（此信息非必填项）；</w:t>
      </w:r>
    </w:p>
    <w:p>
      <w:pPr>
        <w:ind w:firstLine="560"/>
      </w:pPr>
      <w:r>
        <w:rPr>
          <w:rFonts w:hint="eastAsia"/>
        </w:rPr>
        <w:t>‘</w:t>
      </w:r>
      <w:r>
        <w:rPr>
          <w:rFonts w:hint="eastAsia"/>
          <w:b/>
          <w:bCs/>
        </w:rPr>
        <w:t>合计金额</w:t>
      </w:r>
      <w:r>
        <w:rPr>
          <w:rFonts w:hint="eastAsia"/>
        </w:rPr>
        <w:t>’：针对此缴款人，此笔业务的项目总金额；</w:t>
      </w:r>
    </w:p>
    <w:p>
      <w:pPr>
        <w:ind w:firstLine="560"/>
      </w:pPr>
      <w:r>
        <w:rPr>
          <w:rFonts w:hint="eastAsia"/>
        </w:rPr>
        <w:t>‘</w:t>
      </w:r>
      <w:r>
        <w:rPr>
          <w:rFonts w:hint="eastAsia"/>
          <w:b/>
          <w:bCs/>
        </w:rPr>
        <w:t>开票人</w:t>
      </w:r>
      <w:r>
        <w:rPr>
          <w:rFonts w:hint="eastAsia"/>
        </w:rPr>
        <w:t>’：单位开票人员姓名；</w:t>
      </w:r>
    </w:p>
    <w:p>
      <w:pPr>
        <w:ind w:firstLine="560"/>
      </w:pPr>
      <w:r>
        <w:rPr>
          <w:rFonts w:hint="eastAsia"/>
        </w:rPr>
        <w:t>‘</w:t>
      </w:r>
      <w:r>
        <w:rPr>
          <w:rFonts w:hint="eastAsia"/>
          <w:b/>
          <w:bCs/>
        </w:rPr>
        <w:t>项目1：转入项目</w:t>
      </w:r>
      <w:r>
        <w:rPr>
          <w:rFonts w:hint="eastAsia"/>
        </w:rPr>
        <w:t>’：收入项目编码（可在功能菜单基础信息-收入项目查询模块查询）；</w:t>
      </w:r>
    </w:p>
    <w:p>
      <w:pPr>
        <w:ind w:firstLine="560"/>
      </w:pPr>
      <w:r>
        <w:rPr>
          <w:rFonts w:hint="eastAsia"/>
        </w:rPr>
        <w:t>‘</w:t>
      </w:r>
      <w:r>
        <w:rPr>
          <w:rFonts w:hint="eastAsia"/>
          <w:b/>
          <w:bCs/>
        </w:rPr>
        <w:t>项目1：收费标准、项目1：数量、项目1：收费金额</w:t>
      </w:r>
      <w:r>
        <w:rPr>
          <w:rFonts w:hint="eastAsia"/>
        </w:rPr>
        <w:t>’：填写此项目的相关收费信息；</w:t>
      </w:r>
    </w:p>
    <w:p>
      <w:pPr>
        <w:ind w:firstLine="560"/>
        <w:rPr>
          <w:rFonts w:ascii="华文新魏" w:hAnsi="楷体" w:eastAsia="华文新魏"/>
          <w:color w:val="FF0000"/>
        </w:rPr>
      </w:pPr>
      <w:r>
        <w:rPr>
          <w:rFonts w:hint="eastAsia" w:ascii="华文新魏" w:hAnsi="楷体" w:eastAsia="华文新魏"/>
          <w:color w:val="FF0000"/>
        </w:rPr>
        <w:t>注：以下为批量简易模板，模板中必填项必须填写。如此业务存在多个收费项目，可在项目2之后信息填写，或者增加项目3.......等等。</w:t>
      </w:r>
    </w:p>
    <w:p>
      <w:pPr>
        <w:ind w:firstLine="560"/>
        <w:rPr>
          <w:rFonts w:ascii="楷体" w:hAnsi="楷体" w:eastAsia="楷体"/>
          <w:color w:val="FF0000"/>
        </w:rPr>
      </w:pPr>
      <w:r>
        <w:rPr>
          <w:rFonts w:hint="eastAsia"/>
        </w:rPr>
        <w:object>
          <v:shape id="_x0000_i1025" o:spt="75" type="#_x0000_t75" style="height:65.5pt;width:72pt;" o:ole="t" filled="f" o:preferrelative="t" stroked="f" coordsize="21600,21600">
            <v:path/>
            <v:fill on="f" focussize="0,0"/>
            <v:stroke on="f" joinstyle="miter"/>
            <v:imagedata r:id="rId45" o:title=""/>
            <o:lock v:ext="edit" aspectratio="t"/>
            <w10:wrap type="none"/>
            <w10:anchorlock/>
          </v:shape>
          <o:OLEObject Type="Embed" ProgID="Excel.Sheet.12" ShapeID="_x0000_i1025" DrawAspect="Icon" ObjectID="_1468075725" r:id="rId44">
            <o:LockedField>false</o:LockedField>
          </o:OLEObject>
        </w:object>
      </w:r>
    </w:p>
    <w:p>
      <w:pPr>
        <w:pStyle w:val="4"/>
      </w:pPr>
      <w:bookmarkStart w:id="38" w:name="_Toc107481924"/>
      <w:r>
        <w:rPr>
          <w:rFonts w:hint="eastAsia"/>
        </w:rPr>
        <w:t>3</w:t>
      </w:r>
      <w:r>
        <w:t>.4.3</w:t>
      </w:r>
      <w:r>
        <w:rPr>
          <w:rFonts w:hint="eastAsia"/>
        </w:rPr>
        <w:t>模板导入</w:t>
      </w:r>
      <w:bookmarkEnd w:id="38"/>
    </w:p>
    <w:p>
      <w:pPr>
        <w:ind w:firstLine="560"/>
      </w:pPr>
      <w:r>
        <w:rPr>
          <w:rFonts w:hint="eastAsia"/>
        </w:rPr>
        <w:t>重新进入批量开电子缴款书界面，点击“导入”，选择“票据种类”、“票据代码”，选择导入文件，点击导入即可。</w:t>
      </w:r>
    </w:p>
    <w:p>
      <w:r>
        <w:drawing>
          <wp:inline distT="0" distB="0" distL="0" distR="0">
            <wp:extent cx="5274310" cy="196850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83369" cy="1972511"/>
                    </a:xfrm>
                    <a:prstGeom prst="rect">
                      <a:avLst/>
                    </a:prstGeom>
                  </pic:spPr>
                </pic:pic>
              </a:graphicData>
            </a:graphic>
          </wp:inline>
        </w:drawing>
      </w:r>
    </w:p>
    <w:p>
      <w:pPr>
        <w:ind w:firstLine="560"/>
      </w:pPr>
      <w:r>
        <w:rPr>
          <w:rFonts w:hint="eastAsia"/>
        </w:rPr>
        <w:t>导入后可查看是否成功，如果导入失败可下载失败记录，第一列会描述导入失败原因。</w:t>
      </w:r>
    </w:p>
    <w:p>
      <w:r>
        <w:drawing>
          <wp:inline distT="0" distB="0" distL="0" distR="0">
            <wp:extent cx="5271135" cy="1402715"/>
            <wp:effectExtent l="0" t="0" r="571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7"/>
                    <a:stretch>
                      <a:fillRect/>
                    </a:stretch>
                  </pic:blipFill>
                  <pic:spPr>
                    <a:xfrm>
                      <a:off x="0" y="0"/>
                      <a:ext cx="5288100" cy="1407689"/>
                    </a:xfrm>
                    <a:prstGeom prst="rect">
                      <a:avLst/>
                    </a:prstGeom>
                  </pic:spPr>
                </pic:pic>
              </a:graphicData>
            </a:graphic>
          </wp:inline>
        </w:drawing>
      </w:r>
    </w:p>
    <w:p>
      <w:pPr>
        <w:pStyle w:val="4"/>
      </w:pPr>
      <w:bookmarkStart w:id="39" w:name="_Toc107481925"/>
      <w:r>
        <w:rPr>
          <w:rFonts w:hint="eastAsia"/>
        </w:rPr>
        <w:t>3</w:t>
      </w:r>
      <w:r>
        <w:t>.4.4</w:t>
      </w:r>
      <w:r>
        <w:rPr>
          <w:rFonts w:hint="eastAsia"/>
        </w:rPr>
        <w:t>电子缴款书签名</w:t>
      </w:r>
      <w:bookmarkEnd w:id="39"/>
    </w:p>
    <w:p>
      <w:pPr>
        <w:ind w:firstLine="560" w:firstLineChars="200"/>
      </w:pPr>
      <w:r>
        <w:rPr>
          <w:rFonts w:hint="eastAsia"/>
        </w:rPr>
        <w:t>导入成功后，需进行电子缴款书签名操作，在【收缴管理】-</w:t>
      </w:r>
      <w:r>
        <w:t>&gt;</w:t>
      </w:r>
      <w:r>
        <w:rPr>
          <w:rFonts w:hint="eastAsia"/>
        </w:rPr>
        <w:t>【电子缴款书签名】选择导入成功的数据，然后点击“CA签名”。</w:t>
      </w:r>
    </w:p>
    <w:p>
      <w:r>
        <w:drawing>
          <wp:inline distT="0" distB="0" distL="0" distR="0">
            <wp:extent cx="5274310" cy="1537970"/>
            <wp:effectExtent l="0" t="0" r="254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8"/>
                    <a:stretch>
                      <a:fillRect/>
                    </a:stretch>
                  </pic:blipFill>
                  <pic:spPr>
                    <a:xfrm>
                      <a:off x="0" y="0"/>
                      <a:ext cx="5274310" cy="1537970"/>
                    </a:xfrm>
                    <a:prstGeom prst="rect">
                      <a:avLst/>
                    </a:prstGeom>
                  </pic:spPr>
                </pic:pic>
              </a:graphicData>
            </a:graphic>
          </wp:inline>
        </w:drawing>
      </w:r>
    </w:p>
    <w:p>
      <w:pPr>
        <w:pStyle w:val="4"/>
      </w:pPr>
      <w:bookmarkStart w:id="40" w:name="_Toc107481926"/>
      <w:r>
        <w:rPr>
          <w:rFonts w:hint="eastAsia"/>
        </w:rPr>
        <w:t>3</w:t>
      </w:r>
      <w:r>
        <w:t>.4.5</w:t>
      </w:r>
      <w:r>
        <w:rPr>
          <w:rFonts w:hint="eastAsia"/>
        </w:rPr>
        <w:t>电子缴款书查看</w:t>
      </w:r>
      <w:bookmarkEnd w:id="40"/>
    </w:p>
    <w:p>
      <w:pPr>
        <w:ind w:firstLine="560"/>
      </w:pPr>
      <w:r>
        <w:rPr>
          <w:rFonts w:hint="eastAsia"/>
        </w:rPr>
        <w:t>导入成功后，可在“开票管理”-“开电子缴款书”查看导入的数据，并进行打印电子缴款书操作。</w:t>
      </w:r>
    </w:p>
    <w:p>
      <w:r>
        <w:drawing>
          <wp:inline distT="0" distB="0" distL="0" distR="0">
            <wp:extent cx="5207000" cy="1443355"/>
            <wp:effectExtent l="0" t="0" r="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9"/>
                    <a:stretch>
                      <a:fillRect/>
                    </a:stretch>
                  </pic:blipFill>
                  <pic:spPr>
                    <a:xfrm>
                      <a:off x="0" y="0"/>
                      <a:ext cx="5244313" cy="1453869"/>
                    </a:xfrm>
                    <a:prstGeom prst="rect">
                      <a:avLst/>
                    </a:prstGeom>
                  </pic:spPr>
                </pic:pic>
              </a:graphicData>
            </a:graphic>
          </wp:inline>
        </w:drawing>
      </w:r>
    </w:p>
    <w:p>
      <w:pPr>
        <w:jc w:val="center"/>
      </w:pPr>
      <w:r>
        <w:drawing>
          <wp:inline distT="0" distB="0" distL="0" distR="0">
            <wp:extent cx="5274310" cy="32321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5274310" cy="3232150"/>
                    </a:xfrm>
                    <a:prstGeom prst="rect">
                      <a:avLst/>
                    </a:prstGeom>
                  </pic:spPr>
                </pic:pic>
              </a:graphicData>
            </a:graphic>
          </wp:inline>
        </w:drawing>
      </w:r>
    </w:p>
    <w:p>
      <w:pPr>
        <w:pStyle w:val="3"/>
      </w:pPr>
      <w:bookmarkStart w:id="41" w:name="_Toc107481927"/>
      <w:r>
        <w:rPr>
          <w:rFonts w:hint="eastAsia"/>
        </w:rPr>
        <w:t>3.</w:t>
      </w:r>
      <w:r>
        <w:t>5</w:t>
      </w:r>
      <w:r>
        <w:rPr>
          <w:rFonts w:hint="eastAsia"/>
        </w:rPr>
        <w:t>票据查验</w:t>
      </w:r>
      <w:bookmarkEnd w:id="41"/>
    </w:p>
    <w:p>
      <w:pPr>
        <w:ind w:firstLine="560" w:firstLineChars="200"/>
      </w:pPr>
      <w:r>
        <w:rPr>
          <w:rFonts w:hint="eastAsia"/>
        </w:rPr>
        <w:t>功能描述：交款人或交款单位可通过全省统一的财政电子票据公共服务平台，查验财政电子票据的真伪。</w:t>
      </w:r>
    </w:p>
    <w:p>
      <w:pPr>
        <w:ind w:firstLine="560" w:firstLineChars="200"/>
      </w:pPr>
      <w:r>
        <w:rPr>
          <w:rFonts w:hint="eastAsia"/>
        </w:rPr>
        <w:t>操作说明：输入查验网站地址：</w:t>
      </w:r>
      <w:r>
        <w:fldChar w:fldCharType="begin"/>
      </w:r>
      <w:r>
        <w:instrText xml:space="preserve"> HYPERLINK "http://sxfspj.sf.gov.cn/billcheck" </w:instrText>
      </w:r>
      <w:r>
        <w:fldChar w:fldCharType="separate"/>
      </w:r>
      <w:r>
        <w:rPr>
          <w:rStyle w:val="18"/>
        </w:rPr>
        <w:t>http://sxfspj.sf.gov.cn/billcheck</w:t>
      </w:r>
      <w:r>
        <w:rPr>
          <w:rStyle w:val="18"/>
        </w:rPr>
        <w:fldChar w:fldCharType="end"/>
      </w:r>
      <w:r>
        <w:rPr>
          <w:rStyle w:val="18"/>
        </w:rPr>
        <w:t>/#/home</w:t>
      </w:r>
      <w:r>
        <w:rPr>
          <w:rFonts w:hint="eastAsia"/>
        </w:rPr>
        <w:t>，填写电子票据查验要素（交款人、票据代码、票据号码、校验码等），点击“查验”即可。</w:t>
      </w:r>
    </w:p>
    <w:p>
      <w:pPr>
        <w:jc w:val="left"/>
      </w:pPr>
      <w:r>
        <w:drawing>
          <wp:inline distT="0" distB="0" distL="0" distR="0">
            <wp:extent cx="5274310" cy="3311525"/>
            <wp:effectExtent l="0" t="0" r="254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9457" cy="3314757"/>
                    </a:xfrm>
                    <a:prstGeom prst="rect">
                      <a:avLst/>
                    </a:prstGeom>
                    <a:noFill/>
                    <a:ln>
                      <a:noFill/>
                    </a:ln>
                  </pic:spPr>
                </pic:pic>
              </a:graphicData>
            </a:graphic>
          </wp:inline>
        </w:drawing>
      </w:r>
    </w:p>
    <w:p>
      <w:pPr>
        <w:pStyle w:val="3"/>
      </w:pPr>
      <w:bookmarkStart w:id="42" w:name="_Toc107481928"/>
      <w:r>
        <w:rPr>
          <w:rFonts w:hint="eastAsia"/>
        </w:rPr>
        <w:t>3.</w:t>
      </w:r>
      <w:r>
        <w:t>6</w:t>
      </w:r>
      <w:r>
        <w:rPr>
          <w:rFonts w:hint="eastAsia"/>
        </w:rPr>
        <w:t>票据核销</w:t>
      </w:r>
      <w:bookmarkEnd w:id="42"/>
    </w:p>
    <w:p>
      <w:pPr>
        <w:ind w:firstLine="487" w:firstLineChars="174"/>
      </w:pPr>
      <w:r>
        <w:rPr>
          <w:rFonts w:hint="eastAsia"/>
        </w:rPr>
        <w:t>功能描述：定期核销已开具的电子票据。</w:t>
      </w:r>
    </w:p>
    <w:p>
      <w:pPr>
        <w:ind w:firstLine="487" w:firstLineChars="174"/>
      </w:pPr>
      <w:r>
        <w:rPr>
          <w:rFonts w:hint="eastAsia"/>
        </w:rPr>
        <w:t>菜单路径：【票据管理】—&gt;【数据上报】</w:t>
      </w:r>
    </w:p>
    <w:p>
      <w:pPr>
        <w:ind w:firstLine="560" w:firstLineChars="200"/>
      </w:pPr>
      <w:r>
        <w:rPr>
          <w:rFonts w:hint="eastAsia"/>
        </w:rPr>
        <w:t>操作说明：在“数据上报”界面单击左上角“新增”按钮，选择要上报的票据“截止日期”，单击“下一步”，单击“生成”后，关闭当前活动窗口，单击待审核的票据审验信息，单击“审核”—&gt; “审核通过”，出现“单位已审核通过”字样时，等待财政审核即可。</w:t>
      </w:r>
    </w:p>
    <w:p>
      <w:r>
        <w:drawing>
          <wp:inline distT="0" distB="0" distL="0" distR="0">
            <wp:extent cx="5308600" cy="259080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1"/>
                    <a:stretch>
                      <a:fillRect/>
                    </a:stretch>
                  </pic:blipFill>
                  <pic:spPr>
                    <a:xfrm>
                      <a:off x="0" y="0"/>
                      <a:ext cx="5348697" cy="2610758"/>
                    </a:xfrm>
                    <a:prstGeom prst="rect">
                      <a:avLst/>
                    </a:prstGeom>
                  </pic:spPr>
                </pic:pic>
              </a:graphicData>
            </a:graphic>
          </wp:inline>
        </w:drawing>
      </w:r>
    </w:p>
    <w:p>
      <w:pPr>
        <w:ind w:firstLine="280" w:firstLineChars="100"/>
        <w:jc w:val="center"/>
      </w:pPr>
    </w:p>
    <w:p>
      <w:r>
        <w:drawing>
          <wp:inline distT="0" distB="0" distL="0" distR="0">
            <wp:extent cx="5273040" cy="2014220"/>
            <wp:effectExtent l="0" t="0" r="381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2"/>
                    <a:stretch>
                      <a:fillRect/>
                    </a:stretch>
                  </pic:blipFill>
                  <pic:spPr>
                    <a:xfrm>
                      <a:off x="0" y="0"/>
                      <a:ext cx="5286830" cy="2019534"/>
                    </a:xfrm>
                    <a:prstGeom prst="rect">
                      <a:avLst/>
                    </a:prstGeom>
                  </pic:spPr>
                </pic:pic>
              </a:graphicData>
            </a:graphic>
          </wp:inline>
        </w:drawing>
      </w:r>
    </w:p>
    <w:p>
      <w:r>
        <w:drawing>
          <wp:inline distT="0" distB="0" distL="0" distR="0">
            <wp:extent cx="5274310" cy="2548890"/>
            <wp:effectExtent l="0" t="0" r="254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3"/>
                    <a:stretch>
                      <a:fillRect/>
                    </a:stretch>
                  </pic:blipFill>
                  <pic:spPr>
                    <a:xfrm>
                      <a:off x="0" y="0"/>
                      <a:ext cx="5274310" cy="2548890"/>
                    </a:xfrm>
                    <a:prstGeom prst="rect">
                      <a:avLst/>
                    </a:prstGeom>
                  </pic:spPr>
                </pic:pic>
              </a:graphicData>
            </a:graphic>
          </wp:inline>
        </w:drawing>
      </w:r>
    </w:p>
    <w:p>
      <w:r>
        <w:drawing>
          <wp:inline distT="0" distB="0" distL="0" distR="0">
            <wp:extent cx="5274310" cy="3275330"/>
            <wp:effectExtent l="0" t="0" r="254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4"/>
                    <a:stretch>
                      <a:fillRect/>
                    </a:stretch>
                  </pic:blipFill>
                  <pic:spPr>
                    <a:xfrm>
                      <a:off x="0" y="0"/>
                      <a:ext cx="5274310" cy="3275330"/>
                    </a:xfrm>
                    <a:prstGeom prst="rect">
                      <a:avLst/>
                    </a:prstGeom>
                  </pic:spPr>
                </pic:pic>
              </a:graphicData>
            </a:graphic>
          </wp:inline>
        </w:drawing>
      </w:r>
    </w:p>
    <w:p>
      <w:pPr>
        <w:spacing w:line="0" w:lineRule="atLeast"/>
        <w:ind w:firstLine="480" w:firstLineChars="200"/>
        <w:rPr>
          <w:rFonts w:ascii="华文新魏" w:hAnsi="楷体" w:eastAsia="华文新魏"/>
          <w:color w:val="FF0000"/>
          <w:sz w:val="24"/>
          <w:szCs w:val="24"/>
        </w:rPr>
      </w:pPr>
      <w:r>
        <w:rPr>
          <w:rFonts w:hint="eastAsia" w:ascii="华文新魏" w:hAnsi="楷体" w:eastAsia="华文新魏"/>
          <w:color w:val="FF0000"/>
          <w:sz w:val="24"/>
          <w:szCs w:val="24"/>
        </w:rPr>
        <w:t>注：若已到核销日期但单位仍未在系统中做票据核销时，单位虽可正常开具缴款通知书，但是缴款人缴款后，系统不会自动换开电子票据，另外开电子票据时，会提示“</w:t>
      </w:r>
      <w:r>
        <w:rPr>
          <w:rFonts w:hint="eastAsia" w:ascii="华文新魏" w:hAnsi="楷体" w:eastAsia="华文新魏"/>
          <w:b/>
          <w:bCs/>
          <w:color w:val="FF0000"/>
          <w:sz w:val="24"/>
          <w:szCs w:val="24"/>
        </w:rPr>
        <w:t>距离审验上报期限还有7天，请及时上报数据审验！</w:t>
      </w:r>
      <w:r>
        <w:rPr>
          <w:rFonts w:hint="eastAsia" w:ascii="华文新魏" w:hAnsi="楷体" w:eastAsia="华文新魏"/>
          <w:color w:val="FF0000"/>
          <w:sz w:val="24"/>
          <w:szCs w:val="24"/>
        </w:rPr>
        <w:t>”，如下图所示：</w:t>
      </w:r>
    </w:p>
    <w:p>
      <w:r>
        <w:drawing>
          <wp:inline distT="0" distB="0" distL="0" distR="0">
            <wp:extent cx="5274310" cy="304927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5"/>
                    <a:stretch>
                      <a:fillRect/>
                    </a:stretch>
                  </pic:blipFill>
                  <pic:spPr>
                    <a:xfrm>
                      <a:off x="0" y="0"/>
                      <a:ext cx="5274310" cy="3049270"/>
                    </a:xfrm>
                    <a:prstGeom prst="rect">
                      <a:avLst/>
                    </a:prstGeom>
                  </pic:spPr>
                </pic:pic>
              </a:graphicData>
            </a:graphic>
          </wp:inline>
        </w:drawing>
      </w:r>
    </w:p>
    <w:p>
      <w:pPr>
        <w:pStyle w:val="3"/>
      </w:pPr>
      <w:bookmarkStart w:id="43" w:name="_Toc12345"/>
      <w:bookmarkStart w:id="44" w:name="_Toc107481929"/>
      <w:r>
        <w:rPr>
          <w:rFonts w:hint="eastAsia"/>
        </w:rPr>
        <w:t>3.</w:t>
      </w:r>
      <w:bookmarkEnd w:id="43"/>
      <w:r>
        <w:t>7</w:t>
      </w:r>
      <w:r>
        <w:rPr>
          <w:rFonts w:hint="eastAsia"/>
        </w:rPr>
        <w:t>库存结余查询</w:t>
      </w:r>
      <w:bookmarkEnd w:id="44"/>
    </w:p>
    <w:p>
      <w:pPr>
        <w:ind w:firstLine="487" w:firstLineChars="174"/>
      </w:pPr>
      <w:r>
        <w:rPr>
          <w:rFonts w:hint="eastAsia"/>
        </w:rPr>
        <w:t>功能描述：查看当前票据库存情况。</w:t>
      </w:r>
    </w:p>
    <w:p>
      <w:pPr>
        <w:ind w:firstLine="487" w:firstLineChars="174"/>
      </w:pPr>
      <w:r>
        <w:rPr>
          <w:rFonts w:hint="eastAsia"/>
        </w:rPr>
        <w:t>菜单路径：【综合查询】—&gt;【库存结余】</w:t>
      </w:r>
    </w:p>
    <w:p>
      <w:pPr>
        <w:ind w:firstLine="487" w:firstLineChars="174"/>
      </w:pPr>
      <w:r>
        <w:rPr>
          <w:rFonts w:hint="eastAsia"/>
        </w:rPr>
        <w:t>操作说明：单击“查询”，可根据机构名称、票据种类、是否包含电子票等查询当前票据库存情况；单击“打印”，可打印已查询出的票据库存情况。</w:t>
      </w:r>
    </w:p>
    <w:p>
      <w:r>
        <w:drawing>
          <wp:inline distT="0" distB="0" distL="114300" distR="114300">
            <wp:extent cx="5271135" cy="1110615"/>
            <wp:effectExtent l="0" t="0" r="5715" b="1333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56"/>
                    <a:stretch>
                      <a:fillRect/>
                    </a:stretch>
                  </pic:blipFill>
                  <pic:spPr>
                    <a:xfrm>
                      <a:off x="0" y="0"/>
                      <a:ext cx="5271135" cy="1110615"/>
                    </a:xfrm>
                    <a:prstGeom prst="rect">
                      <a:avLst/>
                    </a:prstGeom>
                    <a:noFill/>
                    <a:ln>
                      <a:noFill/>
                    </a:ln>
                  </pic:spPr>
                </pic:pic>
              </a:graphicData>
            </a:graphic>
          </wp:inline>
        </w:drawing>
      </w:r>
    </w:p>
    <w:p>
      <w:pPr>
        <w:pStyle w:val="3"/>
      </w:pPr>
      <w:bookmarkStart w:id="45" w:name="_Toc107481930"/>
      <w:r>
        <w:rPr>
          <w:rFonts w:hint="eastAsia"/>
        </w:rPr>
        <w:t>3.</w:t>
      </w:r>
      <w:r>
        <w:t>8</w:t>
      </w:r>
      <w:r>
        <w:rPr>
          <w:rFonts w:hint="eastAsia"/>
        </w:rPr>
        <w:t>缴款情况查询</w:t>
      </w:r>
      <w:bookmarkEnd w:id="45"/>
    </w:p>
    <w:p>
      <w:pPr>
        <w:ind w:firstLine="560" w:firstLineChars="200"/>
      </w:pPr>
      <w:r>
        <w:rPr>
          <w:rFonts w:hint="eastAsia"/>
        </w:rPr>
        <w:t>功能描述：查看已开具的缴款通知书的缴款情况。</w:t>
      </w:r>
    </w:p>
    <w:p>
      <w:pPr>
        <w:ind w:firstLine="560" w:firstLineChars="200"/>
      </w:pPr>
      <w:r>
        <w:rPr>
          <w:rFonts w:hint="eastAsia"/>
        </w:rPr>
        <w:t>菜单路径：【综合查询】—&gt;【缴款情况】</w:t>
      </w:r>
    </w:p>
    <w:p>
      <w:pPr>
        <w:ind w:firstLine="560" w:firstLineChars="200"/>
      </w:pPr>
      <w:r>
        <w:rPr>
          <w:rFonts w:hint="eastAsia"/>
        </w:rPr>
        <w:t>操作说明：单击“查询”，可根据机构名称、收费项目及缴款书日期等查看缴款通知书的缴款情况。</w:t>
      </w:r>
    </w:p>
    <w:p>
      <w:r>
        <w:drawing>
          <wp:inline distT="0" distB="0" distL="114300" distR="114300">
            <wp:extent cx="5266690" cy="980440"/>
            <wp:effectExtent l="0" t="0" r="10160" b="1016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57"/>
                    <a:stretch>
                      <a:fillRect/>
                    </a:stretch>
                  </pic:blipFill>
                  <pic:spPr>
                    <a:xfrm>
                      <a:off x="0" y="0"/>
                      <a:ext cx="5266690" cy="980440"/>
                    </a:xfrm>
                    <a:prstGeom prst="rect">
                      <a:avLst/>
                    </a:prstGeom>
                    <a:noFill/>
                    <a:ln>
                      <a:noFill/>
                    </a:ln>
                  </pic:spPr>
                </pic:pic>
              </a:graphicData>
            </a:graphic>
          </wp:inline>
        </w:drawing>
      </w:r>
    </w:p>
    <w:p>
      <w:pPr>
        <w:pStyle w:val="3"/>
      </w:pPr>
      <w:bookmarkStart w:id="46" w:name="_Toc107481931"/>
      <w:r>
        <w:rPr>
          <w:rFonts w:hint="eastAsia"/>
        </w:rPr>
        <w:t>3</w:t>
      </w:r>
      <w:r>
        <w:t>.9</w:t>
      </w:r>
      <w:r>
        <w:rPr>
          <w:rFonts w:hint="eastAsia"/>
        </w:rPr>
        <w:t>电子缴款书明细表查询</w:t>
      </w:r>
      <w:bookmarkEnd w:id="46"/>
    </w:p>
    <w:p>
      <w:pPr>
        <w:ind w:firstLine="420"/>
        <w:rPr>
          <w:szCs w:val="24"/>
        </w:rPr>
      </w:pPr>
      <w:r>
        <w:rPr>
          <w:rFonts w:hint="eastAsia"/>
        </w:rPr>
        <w:t>功能描述：</w:t>
      </w:r>
      <w:r>
        <w:rPr>
          <w:rFonts w:hint="eastAsia"/>
          <w:szCs w:val="24"/>
        </w:rPr>
        <w:t>查看本单位已开具的电子缴款书信息，点击操作列“详情”，可查看对应缴款书信息。</w:t>
      </w:r>
    </w:p>
    <w:p>
      <w:pPr>
        <w:ind w:firstLine="420"/>
        <w:rPr>
          <w:szCs w:val="24"/>
        </w:rPr>
      </w:pPr>
      <w:r>
        <w:rPr>
          <w:rFonts w:hint="eastAsia"/>
          <w:szCs w:val="24"/>
        </w:rPr>
        <w:t>菜单路径：【综合查询】-&gt;【电子缴款书明细表查询】</w:t>
      </w:r>
    </w:p>
    <w:p>
      <w:pPr>
        <w:ind w:firstLine="420"/>
      </w:pPr>
      <w:r>
        <w:rPr>
          <w:rFonts w:hint="eastAsia"/>
        </w:rPr>
        <w:t>操作说明：可根据机构名称、缴款码、电子缴款书代码、电子电子缴款书票号及电子票状态等查看电子缴款书信息。</w:t>
      </w:r>
    </w:p>
    <w:p>
      <w:r>
        <w:drawing>
          <wp:inline distT="0" distB="0" distL="0" distR="0">
            <wp:extent cx="5274310" cy="2430780"/>
            <wp:effectExtent l="0" t="0" r="254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8"/>
                    <a:stretch>
                      <a:fillRect/>
                    </a:stretch>
                  </pic:blipFill>
                  <pic:spPr>
                    <a:xfrm>
                      <a:off x="0" y="0"/>
                      <a:ext cx="5279915" cy="2433438"/>
                    </a:xfrm>
                    <a:prstGeom prst="rect">
                      <a:avLst/>
                    </a:prstGeom>
                  </pic:spPr>
                </pic:pic>
              </a:graphicData>
            </a:graphic>
          </wp:inline>
        </w:drawing>
      </w:r>
    </w:p>
    <w:p>
      <w:pPr>
        <w:pStyle w:val="2"/>
      </w:pPr>
      <w:bookmarkStart w:id="47" w:name="_Toc107481932"/>
      <w:r>
        <w:rPr>
          <w:rFonts w:hint="eastAsia"/>
        </w:rPr>
        <w:t>四、运维服务</w:t>
      </w:r>
      <w:bookmarkEnd w:id="47"/>
    </w:p>
    <w:p>
      <w:bookmarkStart w:id="48" w:name="_Toc14634_WPSOffice_Level2"/>
      <w:bookmarkStart w:id="49" w:name="_Toc26301_WPSOffice_Level2"/>
      <w:bookmarkStart w:id="50" w:name="_Toc5592_WPSOffice_Level2"/>
      <w:r>
        <w:rPr>
          <w:rFonts w:hint="eastAsia"/>
        </w:rPr>
        <w:t>1、创建陕西省非税暨票据管理一体化技术支持群，单位业务人员</w:t>
      </w:r>
      <w:bookmarkEnd w:id="48"/>
      <w:bookmarkEnd w:id="49"/>
      <w:bookmarkEnd w:id="50"/>
      <w:r>
        <w:rPr>
          <w:rFonts w:hint="eastAsia"/>
        </w:rPr>
        <w:t>可通过搜索QQ群号或扫二维码的方式入群，入群请备注“</w:t>
      </w:r>
      <w:r>
        <w:rPr>
          <w:rFonts w:hint="eastAsia"/>
          <w:b/>
          <w:bCs/>
        </w:rPr>
        <w:t>单位名称+用户姓名</w:t>
      </w:r>
      <w:r>
        <w:rPr>
          <w:rFonts w:hint="eastAsia"/>
        </w:rPr>
        <w:t>”</w:t>
      </w:r>
    </w:p>
    <w:p>
      <w:bookmarkStart w:id="51" w:name="_Toc16086_WPSOffice_Level2"/>
      <w:bookmarkStart w:id="52" w:name="_Toc12408_WPSOffice_Level2"/>
      <w:bookmarkStart w:id="53" w:name="_Toc12084_WPSOffice_Level2"/>
      <w:r>
        <w:rPr>
          <w:rFonts w:hint="eastAsia"/>
        </w:rPr>
        <w:t>2、系统操作手册、培训视频以及相关的资料</w:t>
      </w:r>
      <w:bookmarkEnd w:id="51"/>
      <w:bookmarkEnd w:id="52"/>
      <w:bookmarkEnd w:id="53"/>
      <w:r>
        <w:rPr>
          <w:rFonts w:hint="eastAsia"/>
        </w:rPr>
        <w:t>都会上传至QQ群</w:t>
      </w:r>
    </w:p>
    <w:p>
      <w:bookmarkStart w:id="54" w:name="_Toc28051_WPSOffice_Level2"/>
      <w:bookmarkStart w:id="55" w:name="_Toc20029_WPSOffice_Level2"/>
      <w:bookmarkStart w:id="56" w:name="_Toc12765_WPSOffice_Level2"/>
      <w:r>
        <w:rPr>
          <w:rFonts w:hint="eastAsia"/>
        </w:rPr>
        <w:t>3、关于非税暨票据系统的通知也会及时在群里</w:t>
      </w:r>
      <w:bookmarkEnd w:id="54"/>
      <w:bookmarkEnd w:id="55"/>
      <w:bookmarkEnd w:id="56"/>
      <w:r>
        <w:rPr>
          <w:rFonts w:hint="eastAsia"/>
        </w:rPr>
        <w:t>发布</w:t>
      </w:r>
    </w:p>
    <w:p>
      <w:pPr>
        <w:ind w:firstLine="280" w:firstLineChars="100"/>
        <w:rPr>
          <w:sz w:val="24"/>
          <w:szCs w:val="24"/>
        </w:rPr>
      </w:pPr>
      <w:r>
        <w:rPr>
          <w:rFonts w:hint="eastAsia"/>
        </w:rPr>
        <w:t xml:space="preserve">技术支持电话：400-888-5699                      </w:t>
      </w:r>
    </w:p>
    <w:p>
      <w:pPr>
        <w:ind w:firstLine="240" w:firstLineChars="100"/>
        <w:rPr>
          <w:sz w:val="24"/>
          <w:szCs w:val="24"/>
        </w:rPr>
      </w:pPr>
      <w:r>
        <w:rPr>
          <w:rFonts w:hint="eastAsia"/>
          <w:sz w:val="24"/>
          <w:szCs w:val="24"/>
        </w:rPr>
        <w:t xml:space="preserve">             </w:t>
      </w:r>
      <w:bookmarkStart w:id="57" w:name="_Toc27409_WPSOffice_Level1"/>
      <w:bookmarkStart w:id="58" w:name="_Toc29281_WPSOffice_Level1"/>
      <w:r>
        <w:rPr>
          <w:rFonts w:hint="eastAsia"/>
          <w:sz w:val="24"/>
          <w:szCs w:val="24"/>
        </w:rPr>
        <w:t>（按1号语音导航键）</w:t>
      </w:r>
      <w:bookmarkEnd w:id="57"/>
      <w:bookmarkEnd w:id="58"/>
    </w:p>
    <w:p>
      <w:pPr>
        <w:ind w:firstLine="240" w:firstLineChars="100"/>
        <w:rPr>
          <w:sz w:val="24"/>
          <w:szCs w:val="24"/>
        </w:rPr>
      </w:pPr>
      <w:r>
        <w:rPr>
          <w:rFonts w:hint="eastAsia"/>
          <w:sz w:val="24"/>
          <w:szCs w:val="24"/>
        </w:rPr>
        <w:t xml:space="preserve">                                                  </w:t>
      </w:r>
    </w:p>
    <w:p>
      <w:pPr>
        <w:ind w:firstLine="480" w:firstLineChars="200"/>
        <w:jc w:val="right"/>
        <w:rPr>
          <w:rFonts w:ascii="宋体" w:hAnsi="宋体" w:eastAsia="宋体" w:cs="宋体"/>
        </w:rPr>
      </w:pPr>
      <w:r>
        <w:rPr>
          <w:rFonts w:hint="eastAsia" w:ascii="宋体" w:hAnsi="宋体" w:eastAsia="宋体" w:cs="宋体"/>
          <w:sz w:val="24"/>
          <w:szCs w:val="24"/>
        </w:rPr>
        <w:t xml:space="preserve">                                        </w:t>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0" w:firstLineChars="20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1394517"/>
    </w:sdtPr>
    <w:sdtContent>
      <w:p>
        <w:pPr>
          <w:pStyle w:val="11"/>
          <w:jc w:val="center"/>
        </w:pPr>
        <w:r>
          <w:fldChar w:fldCharType="begin"/>
        </w:r>
        <w:r>
          <w:instrText xml:space="preserve">PAGE   \* MERGEFORMAT</w:instrText>
        </w:r>
        <w:r>
          <w:fldChar w:fldCharType="separate"/>
        </w:r>
        <w:r>
          <w:rPr>
            <w:lang w:val="zh-CN"/>
          </w:rPr>
          <w:t>26</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211"/>
      <w:jc w:val="right"/>
      <w:rPr>
        <w:rFonts w:ascii="宋体" w:hAnsi="宋体" w:eastAsia="宋体"/>
        <w:b/>
        <w:bCs/>
        <w:sz w:val="21"/>
        <w:szCs w:val="21"/>
      </w:rPr>
    </w:pPr>
    <w:bookmarkStart w:id="59" w:name="_Hlk489197584"/>
    <w:bookmarkStart w:id="60" w:name="_Hlk489197585"/>
    <w:bookmarkStart w:id="61" w:name="_Hlk489197586"/>
    <w:bookmarkStart w:id="62" w:name="_Hlk489197554"/>
    <w:bookmarkStart w:id="63" w:name="_Hlk489197552"/>
    <w:bookmarkStart w:id="64" w:name="_Hlk489197553"/>
    <w:r>
      <w:rPr>
        <w:b/>
        <w:bCs/>
        <w:kern w:val="0"/>
        <w:sz w:val="21"/>
        <w:szCs w:val="21"/>
      </w:rPr>
      <w:drawing>
        <wp:inline distT="0" distB="0" distL="114300" distR="114300">
          <wp:extent cx="292735" cy="324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337222" cy="373137"/>
                  </a:xfrm>
                  <a:prstGeom prst="rect">
                    <a:avLst/>
                  </a:prstGeom>
                  <a:noFill/>
                  <a:ln w="9525">
                    <a:noFill/>
                    <a:miter/>
                  </a:ln>
                </pic:spPr>
              </pic:pic>
            </a:graphicData>
          </a:graphic>
        </wp:inline>
      </w:drawing>
    </w:r>
    <w:r>
      <w:rPr>
        <w:rFonts w:hint="eastAsia" w:ascii="宋体" w:hAnsi="宋体" w:eastAsia="宋体"/>
        <w:b/>
        <w:bCs/>
        <w:sz w:val="21"/>
        <w:szCs w:val="21"/>
      </w:rPr>
      <w:t>福建博思软件股份有限公</w:t>
    </w:r>
    <w:bookmarkEnd w:id="59"/>
    <w:bookmarkEnd w:id="60"/>
    <w:bookmarkEnd w:id="61"/>
    <w:bookmarkEnd w:id="62"/>
    <w:bookmarkEnd w:id="63"/>
    <w:bookmarkEnd w:id="64"/>
    <w:r>
      <w:rPr>
        <w:rFonts w:hint="eastAsia" w:ascii="宋体" w:hAnsi="宋体" w:eastAsia="宋体"/>
        <w:b/>
        <w:bCs/>
        <w:sz w:val="21"/>
        <w:szCs w:val="21"/>
      </w:rPr>
      <w:t>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0129F1"/>
    <w:multiLevelType w:val="singleLevel"/>
    <w:tmpl w:val="1C0129F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1Y2Q5ODM2MzhiNWNlNDk1ZjRiZWE3MjUwZDYyZDkifQ=="/>
  </w:docVars>
  <w:rsids>
    <w:rsidRoot w:val="00173A99"/>
    <w:rsid w:val="00000CE3"/>
    <w:rsid w:val="00002658"/>
    <w:rsid w:val="000041D9"/>
    <w:rsid w:val="000054BA"/>
    <w:rsid w:val="000058B7"/>
    <w:rsid w:val="00005A2D"/>
    <w:rsid w:val="00005CD2"/>
    <w:rsid w:val="00017902"/>
    <w:rsid w:val="000203F0"/>
    <w:rsid w:val="00020A4D"/>
    <w:rsid w:val="00022C00"/>
    <w:rsid w:val="00025C9B"/>
    <w:rsid w:val="00026463"/>
    <w:rsid w:val="000321AA"/>
    <w:rsid w:val="00032923"/>
    <w:rsid w:val="00034EDF"/>
    <w:rsid w:val="00040A85"/>
    <w:rsid w:val="00040EC9"/>
    <w:rsid w:val="00041D2F"/>
    <w:rsid w:val="00045090"/>
    <w:rsid w:val="00050E02"/>
    <w:rsid w:val="00051B56"/>
    <w:rsid w:val="00055955"/>
    <w:rsid w:val="0006035F"/>
    <w:rsid w:val="00060934"/>
    <w:rsid w:val="00061FAC"/>
    <w:rsid w:val="000635AD"/>
    <w:rsid w:val="00063AAB"/>
    <w:rsid w:val="00063B80"/>
    <w:rsid w:val="00063C5D"/>
    <w:rsid w:val="000648CE"/>
    <w:rsid w:val="00064EC7"/>
    <w:rsid w:val="000656A4"/>
    <w:rsid w:val="00071FB3"/>
    <w:rsid w:val="00073D8F"/>
    <w:rsid w:val="000746D1"/>
    <w:rsid w:val="000757AE"/>
    <w:rsid w:val="00077C8C"/>
    <w:rsid w:val="000817B9"/>
    <w:rsid w:val="00081E16"/>
    <w:rsid w:val="00082710"/>
    <w:rsid w:val="00084770"/>
    <w:rsid w:val="000854D1"/>
    <w:rsid w:val="000921D4"/>
    <w:rsid w:val="0009232B"/>
    <w:rsid w:val="00095C5B"/>
    <w:rsid w:val="000A0185"/>
    <w:rsid w:val="000A265D"/>
    <w:rsid w:val="000A3A5E"/>
    <w:rsid w:val="000A7FD1"/>
    <w:rsid w:val="000B2B65"/>
    <w:rsid w:val="000B32E6"/>
    <w:rsid w:val="000B4701"/>
    <w:rsid w:val="000B7261"/>
    <w:rsid w:val="000C79FA"/>
    <w:rsid w:val="000D1A5B"/>
    <w:rsid w:val="000E00FE"/>
    <w:rsid w:val="000E1AAD"/>
    <w:rsid w:val="000E3DDB"/>
    <w:rsid w:val="000E5DD9"/>
    <w:rsid w:val="000F2D31"/>
    <w:rsid w:val="000F2E57"/>
    <w:rsid w:val="000F4896"/>
    <w:rsid w:val="000F5F7A"/>
    <w:rsid w:val="0010236E"/>
    <w:rsid w:val="00104CC2"/>
    <w:rsid w:val="00105916"/>
    <w:rsid w:val="00107100"/>
    <w:rsid w:val="00107D05"/>
    <w:rsid w:val="001139A6"/>
    <w:rsid w:val="00113B16"/>
    <w:rsid w:val="00114E97"/>
    <w:rsid w:val="001171D8"/>
    <w:rsid w:val="0012296D"/>
    <w:rsid w:val="001229C3"/>
    <w:rsid w:val="001267DC"/>
    <w:rsid w:val="00136E45"/>
    <w:rsid w:val="00141E2D"/>
    <w:rsid w:val="001447A4"/>
    <w:rsid w:val="00147284"/>
    <w:rsid w:val="00150DBA"/>
    <w:rsid w:val="001556B5"/>
    <w:rsid w:val="001561B6"/>
    <w:rsid w:val="00161D67"/>
    <w:rsid w:val="00163A3C"/>
    <w:rsid w:val="00163F30"/>
    <w:rsid w:val="001642BC"/>
    <w:rsid w:val="00165193"/>
    <w:rsid w:val="00165AFB"/>
    <w:rsid w:val="00166CB1"/>
    <w:rsid w:val="00170198"/>
    <w:rsid w:val="001701DA"/>
    <w:rsid w:val="00173A99"/>
    <w:rsid w:val="00177A54"/>
    <w:rsid w:val="00180918"/>
    <w:rsid w:val="0018381D"/>
    <w:rsid w:val="001875EC"/>
    <w:rsid w:val="00190322"/>
    <w:rsid w:val="0019405B"/>
    <w:rsid w:val="00194372"/>
    <w:rsid w:val="00195100"/>
    <w:rsid w:val="0019637A"/>
    <w:rsid w:val="00197896"/>
    <w:rsid w:val="001A0EC6"/>
    <w:rsid w:val="001A4334"/>
    <w:rsid w:val="001A569B"/>
    <w:rsid w:val="001A6158"/>
    <w:rsid w:val="001A7FD1"/>
    <w:rsid w:val="001B002E"/>
    <w:rsid w:val="001B01E6"/>
    <w:rsid w:val="001B299E"/>
    <w:rsid w:val="001B5A2F"/>
    <w:rsid w:val="001C20CF"/>
    <w:rsid w:val="001C367E"/>
    <w:rsid w:val="001D1B40"/>
    <w:rsid w:val="001D2DAD"/>
    <w:rsid w:val="001D708F"/>
    <w:rsid w:val="001E5BF5"/>
    <w:rsid w:val="001E6DB3"/>
    <w:rsid w:val="001E7F50"/>
    <w:rsid w:val="001F3CE2"/>
    <w:rsid w:val="001F6990"/>
    <w:rsid w:val="001F729F"/>
    <w:rsid w:val="00201D12"/>
    <w:rsid w:val="00201EEE"/>
    <w:rsid w:val="00203322"/>
    <w:rsid w:val="002039AA"/>
    <w:rsid w:val="00204671"/>
    <w:rsid w:val="00204C40"/>
    <w:rsid w:val="00206DE3"/>
    <w:rsid w:val="00206FA9"/>
    <w:rsid w:val="00211CD0"/>
    <w:rsid w:val="00212ECA"/>
    <w:rsid w:val="0021309D"/>
    <w:rsid w:val="002139A5"/>
    <w:rsid w:val="00214572"/>
    <w:rsid w:val="002148FC"/>
    <w:rsid w:val="00217014"/>
    <w:rsid w:val="00217F07"/>
    <w:rsid w:val="0022080D"/>
    <w:rsid w:val="00220BED"/>
    <w:rsid w:val="002227C5"/>
    <w:rsid w:val="00222823"/>
    <w:rsid w:val="002228B4"/>
    <w:rsid w:val="0022321F"/>
    <w:rsid w:val="00223EE4"/>
    <w:rsid w:val="002264CA"/>
    <w:rsid w:val="002308D1"/>
    <w:rsid w:val="00232A45"/>
    <w:rsid w:val="00234AA3"/>
    <w:rsid w:val="00237243"/>
    <w:rsid w:val="00240959"/>
    <w:rsid w:val="00241812"/>
    <w:rsid w:val="00241C39"/>
    <w:rsid w:val="002444BA"/>
    <w:rsid w:val="002453DB"/>
    <w:rsid w:val="0024679F"/>
    <w:rsid w:val="00247D26"/>
    <w:rsid w:val="00251B75"/>
    <w:rsid w:val="0025200B"/>
    <w:rsid w:val="00256A7B"/>
    <w:rsid w:val="0026100A"/>
    <w:rsid w:val="002620EB"/>
    <w:rsid w:val="00264C63"/>
    <w:rsid w:val="0027121F"/>
    <w:rsid w:val="00272108"/>
    <w:rsid w:val="0027259F"/>
    <w:rsid w:val="00277548"/>
    <w:rsid w:val="00281A2E"/>
    <w:rsid w:val="00283052"/>
    <w:rsid w:val="002878EF"/>
    <w:rsid w:val="00287EDE"/>
    <w:rsid w:val="002901A4"/>
    <w:rsid w:val="002911D9"/>
    <w:rsid w:val="00291AB9"/>
    <w:rsid w:val="00291BC9"/>
    <w:rsid w:val="002966F7"/>
    <w:rsid w:val="002A0301"/>
    <w:rsid w:val="002A1424"/>
    <w:rsid w:val="002B07C8"/>
    <w:rsid w:val="002B5338"/>
    <w:rsid w:val="002C0F3B"/>
    <w:rsid w:val="002C22AC"/>
    <w:rsid w:val="002C4430"/>
    <w:rsid w:val="002C762C"/>
    <w:rsid w:val="002D3793"/>
    <w:rsid w:val="002D426A"/>
    <w:rsid w:val="002D7354"/>
    <w:rsid w:val="002D7AC2"/>
    <w:rsid w:val="002E319E"/>
    <w:rsid w:val="002E4135"/>
    <w:rsid w:val="002E6CB1"/>
    <w:rsid w:val="002E6EB2"/>
    <w:rsid w:val="002E744B"/>
    <w:rsid w:val="002E7976"/>
    <w:rsid w:val="002F5567"/>
    <w:rsid w:val="002F64C7"/>
    <w:rsid w:val="0030424F"/>
    <w:rsid w:val="00306684"/>
    <w:rsid w:val="00310FEF"/>
    <w:rsid w:val="003112C3"/>
    <w:rsid w:val="00311FC6"/>
    <w:rsid w:val="00314373"/>
    <w:rsid w:val="003144AC"/>
    <w:rsid w:val="00315829"/>
    <w:rsid w:val="003165EE"/>
    <w:rsid w:val="00320797"/>
    <w:rsid w:val="00321D04"/>
    <w:rsid w:val="00322539"/>
    <w:rsid w:val="003262A7"/>
    <w:rsid w:val="00332391"/>
    <w:rsid w:val="00332C75"/>
    <w:rsid w:val="003348FE"/>
    <w:rsid w:val="0033495B"/>
    <w:rsid w:val="0033727A"/>
    <w:rsid w:val="0033769A"/>
    <w:rsid w:val="003427CC"/>
    <w:rsid w:val="00342F3F"/>
    <w:rsid w:val="00343707"/>
    <w:rsid w:val="00345571"/>
    <w:rsid w:val="00350977"/>
    <w:rsid w:val="00350C7D"/>
    <w:rsid w:val="00353FCD"/>
    <w:rsid w:val="00361CB2"/>
    <w:rsid w:val="00364556"/>
    <w:rsid w:val="003674E0"/>
    <w:rsid w:val="00367513"/>
    <w:rsid w:val="0037028A"/>
    <w:rsid w:val="003709AA"/>
    <w:rsid w:val="00372904"/>
    <w:rsid w:val="0037688D"/>
    <w:rsid w:val="00376ECF"/>
    <w:rsid w:val="00377347"/>
    <w:rsid w:val="0038144F"/>
    <w:rsid w:val="003841F1"/>
    <w:rsid w:val="00386E1B"/>
    <w:rsid w:val="003877D7"/>
    <w:rsid w:val="003903C3"/>
    <w:rsid w:val="003919B8"/>
    <w:rsid w:val="00391D3E"/>
    <w:rsid w:val="00392D60"/>
    <w:rsid w:val="00394A8A"/>
    <w:rsid w:val="003A424D"/>
    <w:rsid w:val="003A5663"/>
    <w:rsid w:val="003A6CF5"/>
    <w:rsid w:val="003B0C84"/>
    <w:rsid w:val="003B0CB5"/>
    <w:rsid w:val="003B4D17"/>
    <w:rsid w:val="003C2931"/>
    <w:rsid w:val="003C418E"/>
    <w:rsid w:val="003D1D9E"/>
    <w:rsid w:val="003D2577"/>
    <w:rsid w:val="003D302F"/>
    <w:rsid w:val="003E4DB3"/>
    <w:rsid w:val="003E79C3"/>
    <w:rsid w:val="003F04CA"/>
    <w:rsid w:val="003F2A76"/>
    <w:rsid w:val="003F5B26"/>
    <w:rsid w:val="003F6D72"/>
    <w:rsid w:val="003F7984"/>
    <w:rsid w:val="00401A9B"/>
    <w:rsid w:val="00403361"/>
    <w:rsid w:val="00403FAD"/>
    <w:rsid w:val="00404073"/>
    <w:rsid w:val="004049FE"/>
    <w:rsid w:val="00405B2B"/>
    <w:rsid w:val="00405D6B"/>
    <w:rsid w:val="0040603D"/>
    <w:rsid w:val="004064B9"/>
    <w:rsid w:val="00407F22"/>
    <w:rsid w:val="0041014E"/>
    <w:rsid w:val="00410CB0"/>
    <w:rsid w:val="00411067"/>
    <w:rsid w:val="00411E08"/>
    <w:rsid w:val="00415562"/>
    <w:rsid w:val="00415827"/>
    <w:rsid w:val="004205BD"/>
    <w:rsid w:val="00420782"/>
    <w:rsid w:val="0042128D"/>
    <w:rsid w:val="00433DBB"/>
    <w:rsid w:val="00434A9C"/>
    <w:rsid w:val="00436335"/>
    <w:rsid w:val="00440CBC"/>
    <w:rsid w:val="00441A94"/>
    <w:rsid w:val="00441D3C"/>
    <w:rsid w:val="00443B7F"/>
    <w:rsid w:val="00460483"/>
    <w:rsid w:val="004641D6"/>
    <w:rsid w:val="00464F89"/>
    <w:rsid w:val="00470D75"/>
    <w:rsid w:val="004720BD"/>
    <w:rsid w:val="00473CF8"/>
    <w:rsid w:val="004758B7"/>
    <w:rsid w:val="0047714C"/>
    <w:rsid w:val="00483DC2"/>
    <w:rsid w:val="00486CF1"/>
    <w:rsid w:val="004877C8"/>
    <w:rsid w:val="00491FC7"/>
    <w:rsid w:val="0049210D"/>
    <w:rsid w:val="00493ECE"/>
    <w:rsid w:val="004A1549"/>
    <w:rsid w:val="004A49A8"/>
    <w:rsid w:val="004A6D48"/>
    <w:rsid w:val="004B44BB"/>
    <w:rsid w:val="004B7654"/>
    <w:rsid w:val="004D012F"/>
    <w:rsid w:val="004D3055"/>
    <w:rsid w:val="004D400F"/>
    <w:rsid w:val="004D6B15"/>
    <w:rsid w:val="004D7369"/>
    <w:rsid w:val="004E01F0"/>
    <w:rsid w:val="004E0947"/>
    <w:rsid w:val="004E1C3A"/>
    <w:rsid w:val="004E5734"/>
    <w:rsid w:val="004E6E90"/>
    <w:rsid w:val="004E70B0"/>
    <w:rsid w:val="004E766B"/>
    <w:rsid w:val="004F01A2"/>
    <w:rsid w:val="004F0994"/>
    <w:rsid w:val="004F5B77"/>
    <w:rsid w:val="004F676D"/>
    <w:rsid w:val="00503285"/>
    <w:rsid w:val="005051A7"/>
    <w:rsid w:val="00507BB1"/>
    <w:rsid w:val="00517FE1"/>
    <w:rsid w:val="00520B29"/>
    <w:rsid w:val="005225C0"/>
    <w:rsid w:val="0052397B"/>
    <w:rsid w:val="00526227"/>
    <w:rsid w:val="005264BF"/>
    <w:rsid w:val="00527D61"/>
    <w:rsid w:val="00531310"/>
    <w:rsid w:val="0054036D"/>
    <w:rsid w:val="00541CFF"/>
    <w:rsid w:val="00543218"/>
    <w:rsid w:val="005437DB"/>
    <w:rsid w:val="005461DE"/>
    <w:rsid w:val="00556E4E"/>
    <w:rsid w:val="005672FA"/>
    <w:rsid w:val="005679E7"/>
    <w:rsid w:val="005712AC"/>
    <w:rsid w:val="005725A3"/>
    <w:rsid w:val="005733EE"/>
    <w:rsid w:val="0057389A"/>
    <w:rsid w:val="00573A5E"/>
    <w:rsid w:val="00574F06"/>
    <w:rsid w:val="005766B3"/>
    <w:rsid w:val="00577DEC"/>
    <w:rsid w:val="005838CB"/>
    <w:rsid w:val="00584661"/>
    <w:rsid w:val="00590346"/>
    <w:rsid w:val="005906FB"/>
    <w:rsid w:val="0059333F"/>
    <w:rsid w:val="00594E1C"/>
    <w:rsid w:val="00596431"/>
    <w:rsid w:val="005A1721"/>
    <w:rsid w:val="005B5152"/>
    <w:rsid w:val="005B5AFE"/>
    <w:rsid w:val="005C0197"/>
    <w:rsid w:val="005C11BD"/>
    <w:rsid w:val="005C220D"/>
    <w:rsid w:val="005C28DF"/>
    <w:rsid w:val="005C3A0A"/>
    <w:rsid w:val="005C46D0"/>
    <w:rsid w:val="005C4D91"/>
    <w:rsid w:val="005D0A3A"/>
    <w:rsid w:val="005D0B4F"/>
    <w:rsid w:val="005D12D8"/>
    <w:rsid w:val="005D39A4"/>
    <w:rsid w:val="005D6CD5"/>
    <w:rsid w:val="005D768B"/>
    <w:rsid w:val="005E07E0"/>
    <w:rsid w:val="005E171F"/>
    <w:rsid w:val="005E1C2C"/>
    <w:rsid w:val="005E467B"/>
    <w:rsid w:val="005E7717"/>
    <w:rsid w:val="005E77A7"/>
    <w:rsid w:val="005F40E8"/>
    <w:rsid w:val="00603704"/>
    <w:rsid w:val="006068A4"/>
    <w:rsid w:val="00607718"/>
    <w:rsid w:val="0061067A"/>
    <w:rsid w:val="0061190A"/>
    <w:rsid w:val="00612369"/>
    <w:rsid w:val="0061739B"/>
    <w:rsid w:val="00617AAE"/>
    <w:rsid w:val="00620122"/>
    <w:rsid w:val="0062208C"/>
    <w:rsid w:val="00622F3C"/>
    <w:rsid w:val="00624DAC"/>
    <w:rsid w:val="0062556F"/>
    <w:rsid w:val="006302AB"/>
    <w:rsid w:val="00630C35"/>
    <w:rsid w:val="00631114"/>
    <w:rsid w:val="00631549"/>
    <w:rsid w:val="00641480"/>
    <w:rsid w:val="00641721"/>
    <w:rsid w:val="00641884"/>
    <w:rsid w:val="006427DB"/>
    <w:rsid w:val="00643865"/>
    <w:rsid w:val="0064406A"/>
    <w:rsid w:val="00644B8E"/>
    <w:rsid w:val="00647FC7"/>
    <w:rsid w:val="0065090F"/>
    <w:rsid w:val="006540C1"/>
    <w:rsid w:val="00655DB6"/>
    <w:rsid w:val="006644A9"/>
    <w:rsid w:val="006652D0"/>
    <w:rsid w:val="00670CCA"/>
    <w:rsid w:val="00670FCF"/>
    <w:rsid w:val="00671008"/>
    <w:rsid w:val="006743FE"/>
    <w:rsid w:val="00674EDC"/>
    <w:rsid w:val="006760C7"/>
    <w:rsid w:val="00677F2B"/>
    <w:rsid w:val="00680E9F"/>
    <w:rsid w:val="00681E42"/>
    <w:rsid w:val="00685B89"/>
    <w:rsid w:val="00686FD1"/>
    <w:rsid w:val="00690912"/>
    <w:rsid w:val="0069379C"/>
    <w:rsid w:val="00693ECF"/>
    <w:rsid w:val="00694C49"/>
    <w:rsid w:val="00696331"/>
    <w:rsid w:val="006A5139"/>
    <w:rsid w:val="006A5395"/>
    <w:rsid w:val="006B7229"/>
    <w:rsid w:val="006C0474"/>
    <w:rsid w:val="006C2277"/>
    <w:rsid w:val="006C3655"/>
    <w:rsid w:val="006C4535"/>
    <w:rsid w:val="006C49A6"/>
    <w:rsid w:val="006D2E98"/>
    <w:rsid w:val="006D3680"/>
    <w:rsid w:val="006D41F5"/>
    <w:rsid w:val="006D5DB6"/>
    <w:rsid w:val="006D6930"/>
    <w:rsid w:val="006E0702"/>
    <w:rsid w:val="006E0A69"/>
    <w:rsid w:val="006E2D4A"/>
    <w:rsid w:val="006E43D1"/>
    <w:rsid w:val="006E5A04"/>
    <w:rsid w:val="006E7087"/>
    <w:rsid w:val="006F0ACD"/>
    <w:rsid w:val="006F46B1"/>
    <w:rsid w:val="006F626D"/>
    <w:rsid w:val="006F6764"/>
    <w:rsid w:val="006F6A24"/>
    <w:rsid w:val="0070488D"/>
    <w:rsid w:val="00706A3A"/>
    <w:rsid w:val="00711E46"/>
    <w:rsid w:val="00714694"/>
    <w:rsid w:val="00715324"/>
    <w:rsid w:val="00716A1A"/>
    <w:rsid w:val="00720EB6"/>
    <w:rsid w:val="00721386"/>
    <w:rsid w:val="00721624"/>
    <w:rsid w:val="00721F09"/>
    <w:rsid w:val="00722870"/>
    <w:rsid w:val="00724AFB"/>
    <w:rsid w:val="00725E62"/>
    <w:rsid w:val="007322D5"/>
    <w:rsid w:val="00733A4C"/>
    <w:rsid w:val="0073550E"/>
    <w:rsid w:val="00735EAE"/>
    <w:rsid w:val="00737ACA"/>
    <w:rsid w:val="00741843"/>
    <w:rsid w:val="00743F39"/>
    <w:rsid w:val="00743FCD"/>
    <w:rsid w:val="00744DA5"/>
    <w:rsid w:val="00746E5B"/>
    <w:rsid w:val="0074778D"/>
    <w:rsid w:val="0075091C"/>
    <w:rsid w:val="007510FD"/>
    <w:rsid w:val="00751519"/>
    <w:rsid w:val="00753D62"/>
    <w:rsid w:val="00757D8B"/>
    <w:rsid w:val="0076011E"/>
    <w:rsid w:val="0076101C"/>
    <w:rsid w:val="007610B0"/>
    <w:rsid w:val="00761E47"/>
    <w:rsid w:val="00762039"/>
    <w:rsid w:val="00767532"/>
    <w:rsid w:val="00770E29"/>
    <w:rsid w:val="00771299"/>
    <w:rsid w:val="00771D5F"/>
    <w:rsid w:val="00772682"/>
    <w:rsid w:val="00772FF7"/>
    <w:rsid w:val="007745D9"/>
    <w:rsid w:val="00774F0E"/>
    <w:rsid w:val="00777C0D"/>
    <w:rsid w:val="007817F5"/>
    <w:rsid w:val="007832AA"/>
    <w:rsid w:val="00791672"/>
    <w:rsid w:val="00795030"/>
    <w:rsid w:val="00797AD2"/>
    <w:rsid w:val="007A2660"/>
    <w:rsid w:val="007A28FC"/>
    <w:rsid w:val="007A5B39"/>
    <w:rsid w:val="007B0336"/>
    <w:rsid w:val="007B2D6A"/>
    <w:rsid w:val="007B35D9"/>
    <w:rsid w:val="007B5818"/>
    <w:rsid w:val="007B61F6"/>
    <w:rsid w:val="007B6828"/>
    <w:rsid w:val="007B70BF"/>
    <w:rsid w:val="007C098C"/>
    <w:rsid w:val="007C2110"/>
    <w:rsid w:val="007C6DAA"/>
    <w:rsid w:val="007C7C03"/>
    <w:rsid w:val="007D1FAF"/>
    <w:rsid w:val="007D7475"/>
    <w:rsid w:val="007D7ECA"/>
    <w:rsid w:val="007D7FAD"/>
    <w:rsid w:val="007E0123"/>
    <w:rsid w:val="007E028E"/>
    <w:rsid w:val="007E7971"/>
    <w:rsid w:val="007F01BE"/>
    <w:rsid w:val="007F106F"/>
    <w:rsid w:val="0080088C"/>
    <w:rsid w:val="00800DF6"/>
    <w:rsid w:val="0080178B"/>
    <w:rsid w:val="00803101"/>
    <w:rsid w:val="00804335"/>
    <w:rsid w:val="00805CCF"/>
    <w:rsid w:val="00806F8C"/>
    <w:rsid w:val="00807EC9"/>
    <w:rsid w:val="008146EC"/>
    <w:rsid w:val="00821277"/>
    <w:rsid w:val="008236DD"/>
    <w:rsid w:val="00825862"/>
    <w:rsid w:val="0082759F"/>
    <w:rsid w:val="00833250"/>
    <w:rsid w:val="00835206"/>
    <w:rsid w:val="00836A52"/>
    <w:rsid w:val="00837A5B"/>
    <w:rsid w:val="00842DE7"/>
    <w:rsid w:val="00843734"/>
    <w:rsid w:val="0084619B"/>
    <w:rsid w:val="00846F3B"/>
    <w:rsid w:val="00847675"/>
    <w:rsid w:val="00850C9B"/>
    <w:rsid w:val="00850D2F"/>
    <w:rsid w:val="008514B9"/>
    <w:rsid w:val="008520C4"/>
    <w:rsid w:val="0086183C"/>
    <w:rsid w:val="00863F07"/>
    <w:rsid w:val="00864CF8"/>
    <w:rsid w:val="00871B3C"/>
    <w:rsid w:val="008724E2"/>
    <w:rsid w:val="00873CF4"/>
    <w:rsid w:val="00875AAF"/>
    <w:rsid w:val="00881722"/>
    <w:rsid w:val="0088359B"/>
    <w:rsid w:val="0088734C"/>
    <w:rsid w:val="00891A7F"/>
    <w:rsid w:val="0089745D"/>
    <w:rsid w:val="008A5061"/>
    <w:rsid w:val="008A5A01"/>
    <w:rsid w:val="008A5B08"/>
    <w:rsid w:val="008B3649"/>
    <w:rsid w:val="008C4E42"/>
    <w:rsid w:val="008C52CB"/>
    <w:rsid w:val="008C5784"/>
    <w:rsid w:val="008D11FB"/>
    <w:rsid w:val="008D1723"/>
    <w:rsid w:val="008D1EDE"/>
    <w:rsid w:val="008D23DB"/>
    <w:rsid w:val="008D5EDF"/>
    <w:rsid w:val="008D613A"/>
    <w:rsid w:val="008E130D"/>
    <w:rsid w:val="008E1662"/>
    <w:rsid w:val="008E2F1A"/>
    <w:rsid w:val="008E58A0"/>
    <w:rsid w:val="008E7988"/>
    <w:rsid w:val="008F106E"/>
    <w:rsid w:val="008F1ED9"/>
    <w:rsid w:val="008F2A48"/>
    <w:rsid w:val="008F2CC3"/>
    <w:rsid w:val="009005F6"/>
    <w:rsid w:val="00900AD6"/>
    <w:rsid w:val="00902206"/>
    <w:rsid w:val="009029AD"/>
    <w:rsid w:val="009059BE"/>
    <w:rsid w:val="00905A4F"/>
    <w:rsid w:val="00910458"/>
    <w:rsid w:val="0091070D"/>
    <w:rsid w:val="0091553F"/>
    <w:rsid w:val="00921C40"/>
    <w:rsid w:val="00923DC1"/>
    <w:rsid w:val="00924518"/>
    <w:rsid w:val="009273E8"/>
    <w:rsid w:val="00927C46"/>
    <w:rsid w:val="009323DD"/>
    <w:rsid w:val="00933D75"/>
    <w:rsid w:val="00937874"/>
    <w:rsid w:val="00941146"/>
    <w:rsid w:val="00941F61"/>
    <w:rsid w:val="00942E01"/>
    <w:rsid w:val="00946289"/>
    <w:rsid w:val="009462D3"/>
    <w:rsid w:val="00946588"/>
    <w:rsid w:val="00951015"/>
    <w:rsid w:val="0095790F"/>
    <w:rsid w:val="0096017A"/>
    <w:rsid w:val="00970FBC"/>
    <w:rsid w:val="00971A15"/>
    <w:rsid w:val="00972340"/>
    <w:rsid w:val="00972ED6"/>
    <w:rsid w:val="00973438"/>
    <w:rsid w:val="00976382"/>
    <w:rsid w:val="0097790E"/>
    <w:rsid w:val="0098057A"/>
    <w:rsid w:val="00980700"/>
    <w:rsid w:val="00981092"/>
    <w:rsid w:val="0098374B"/>
    <w:rsid w:val="0098433E"/>
    <w:rsid w:val="00985D9B"/>
    <w:rsid w:val="00986F27"/>
    <w:rsid w:val="009902C7"/>
    <w:rsid w:val="00990651"/>
    <w:rsid w:val="00991001"/>
    <w:rsid w:val="009926DA"/>
    <w:rsid w:val="00994C4C"/>
    <w:rsid w:val="009A34E6"/>
    <w:rsid w:val="009A4517"/>
    <w:rsid w:val="009A5A2E"/>
    <w:rsid w:val="009A7652"/>
    <w:rsid w:val="009B1C41"/>
    <w:rsid w:val="009B23A3"/>
    <w:rsid w:val="009B31CC"/>
    <w:rsid w:val="009B3B13"/>
    <w:rsid w:val="009B5ABE"/>
    <w:rsid w:val="009C0AAB"/>
    <w:rsid w:val="009C3DA5"/>
    <w:rsid w:val="009C3FCD"/>
    <w:rsid w:val="009C40AC"/>
    <w:rsid w:val="009C427C"/>
    <w:rsid w:val="009C4DD2"/>
    <w:rsid w:val="009D3C8A"/>
    <w:rsid w:val="009D5E90"/>
    <w:rsid w:val="009D6009"/>
    <w:rsid w:val="009E2A87"/>
    <w:rsid w:val="009E368E"/>
    <w:rsid w:val="009E4043"/>
    <w:rsid w:val="009E702B"/>
    <w:rsid w:val="009E7EA8"/>
    <w:rsid w:val="009F0320"/>
    <w:rsid w:val="009F2B70"/>
    <w:rsid w:val="009F412A"/>
    <w:rsid w:val="009F536B"/>
    <w:rsid w:val="00A00608"/>
    <w:rsid w:val="00A11A6D"/>
    <w:rsid w:val="00A1518B"/>
    <w:rsid w:val="00A159DC"/>
    <w:rsid w:val="00A16980"/>
    <w:rsid w:val="00A16DE4"/>
    <w:rsid w:val="00A279D5"/>
    <w:rsid w:val="00A30901"/>
    <w:rsid w:val="00A33889"/>
    <w:rsid w:val="00A3519E"/>
    <w:rsid w:val="00A37DB3"/>
    <w:rsid w:val="00A4163F"/>
    <w:rsid w:val="00A465A6"/>
    <w:rsid w:val="00A4662C"/>
    <w:rsid w:val="00A46D68"/>
    <w:rsid w:val="00A52AB0"/>
    <w:rsid w:val="00A55CDC"/>
    <w:rsid w:val="00A56FD6"/>
    <w:rsid w:val="00A606BC"/>
    <w:rsid w:val="00A6115C"/>
    <w:rsid w:val="00A6238A"/>
    <w:rsid w:val="00A62477"/>
    <w:rsid w:val="00A63193"/>
    <w:rsid w:val="00A64EEB"/>
    <w:rsid w:val="00A65AAF"/>
    <w:rsid w:val="00A7519C"/>
    <w:rsid w:val="00A762F7"/>
    <w:rsid w:val="00A802E0"/>
    <w:rsid w:val="00A80A62"/>
    <w:rsid w:val="00A82D21"/>
    <w:rsid w:val="00A82E8B"/>
    <w:rsid w:val="00A940E4"/>
    <w:rsid w:val="00A95C5B"/>
    <w:rsid w:val="00A96FA7"/>
    <w:rsid w:val="00A97DC7"/>
    <w:rsid w:val="00AA0761"/>
    <w:rsid w:val="00AA154A"/>
    <w:rsid w:val="00AA3106"/>
    <w:rsid w:val="00AB74C0"/>
    <w:rsid w:val="00AB7B10"/>
    <w:rsid w:val="00AC4908"/>
    <w:rsid w:val="00AD16A5"/>
    <w:rsid w:val="00AD466A"/>
    <w:rsid w:val="00AF303B"/>
    <w:rsid w:val="00AF5758"/>
    <w:rsid w:val="00AF6AB6"/>
    <w:rsid w:val="00B002D5"/>
    <w:rsid w:val="00B0100C"/>
    <w:rsid w:val="00B0177C"/>
    <w:rsid w:val="00B02BC2"/>
    <w:rsid w:val="00B04B15"/>
    <w:rsid w:val="00B11E36"/>
    <w:rsid w:val="00B12987"/>
    <w:rsid w:val="00B12E4E"/>
    <w:rsid w:val="00B15AB6"/>
    <w:rsid w:val="00B17621"/>
    <w:rsid w:val="00B21815"/>
    <w:rsid w:val="00B219A9"/>
    <w:rsid w:val="00B22FD0"/>
    <w:rsid w:val="00B24313"/>
    <w:rsid w:val="00B24D9B"/>
    <w:rsid w:val="00B2535B"/>
    <w:rsid w:val="00B27D02"/>
    <w:rsid w:val="00B3048A"/>
    <w:rsid w:val="00B31B31"/>
    <w:rsid w:val="00B33C64"/>
    <w:rsid w:val="00B40EF0"/>
    <w:rsid w:val="00B41174"/>
    <w:rsid w:val="00B418B4"/>
    <w:rsid w:val="00B43D6F"/>
    <w:rsid w:val="00B464A3"/>
    <w:rsid w:val="00B47545"/>
    <w:rsid w:val="00B50274"/>
    <w:rsid w:val="00B52049"/>
    <w:rsid w:val="00B55355"/>
    <w:rsid w:val="00B56B01"/>
    <w:rsid w:val="00B61DA4"/>
    <w:rsid w:val="00B6269D"/>
    <w:rsid w:val="00B65A1B"/>
    <w:rsid w:val="00B6714F"/>
    <w:rsid w:val="00B70402"/>
    <w:rsid w:val="00B70C33"/>
    <w:rsid w:val="00B75406"/>
    <w:rsid w:val="00B75612"/>
    <w:rsid w:val="00B8339A"/>
    <w:rsid w:val="00B91239"/>
    <w:rsid w:val="00B93CD3"/>
    <w:rsid w:val="00B968E3"/>
    <w:rsid w:val="00BA0A80"/>
    <w:rsid w:val="00BA0B56"/>
    <w:rsid w:val="00BA27A1"/>
    <w:rsid w:val="00BA3F5B"/>
    <w:rsid w:val="00BA5961"/>
    <w:rsid w:val="00BB1C30"/>
    <w:rsid w:val="00BB26E6"/>
    <w:rsid w:val="00BB3BD4"/>
    <w:rsid w:val="00BB553D"/>
    <w:rsid w:val="00BB68F6"/>
    <w:rsid w:val="00BC1691"/>
    <w:rsid w:val="00BC1E32"/>
    <w:rsid w:val="00BC354F"/>
    <w:rsid w:val="00BC4631"/>
    <w:rsid w:val="00BC68AA"/>
    <w:rsid w:val="00BD0DCF"/>
    <w:rsid w:val="00BD2182"/>
    <w:rsid w:val="00BD4140"/>
    <w:rsid w:val="00BD438F"/>
    <w:rsid w:val="00BD545E"/>
    <w:rsid w:val="00BD704D"/>
    <w:rsid w:val="00BE1437"/>
    <w:rsid w:val="00BE1EA5"/>
    <w:rsid w:val="00BE413E"/>
    <w:rsid w:val="00BE5EFC"/>
    <w:rsid w:val="00BF06E5"/>
    <w:rsid w:val="00BF6913"/>
    <w:rsid w:val="00BF78F9"/>
    <w:rsid w:val="00C032C3"/>
    <w:rsid w:val="00C0373F"/>
    <w:rsid w:val="00C0727A"/>
    <w:rsid w:val="00C10E91"/>
    <w:rsid w:val="00C12FDE"/>
    <w:rsid w:val="00C16433"/>
    <w:rsid w:val="00C17C71"/>
    <w:rsid w:val="00C17E9C"/>
    <w:rsid w:val="00C2086E"/>
    <w:rsid w:val="00C24AFF"/>
    <w:rsid w:val="00C26EBE"/>
    <w:rsid w:val="00C312D2"/>
    <w:rsid w:val="00C31967"/>
    <w:rsid w:val="00C330EE"/>
    <w:rsid w:val="00C349D5"/>
    <w:rsid w:val="00C36286"/>
    <w:rsid w:val="00C36BB4"/>
    <w:rsid w:val="00C3795D"/>
    <w:rsid w:val="00C40D25"/>
    <w:rsid w:val="00C41E91"/>
    <w:rsid w:val="00C431F5"/>
    <w:rsid w:val="00C45FCA"/>
    <w:rsid w:val="00C4608B"/>
    <w:rsid w:val="00C4716E"/>
    <w:rsid w:val="00C511E2"/>
    <w:rsid w:val="00C54A94"/>
    <w:rsid w:val="00C54FC9"/>
    <w:rsid w:val="00C62788"/>
    <w:rsid w:val="00C66145"/>
    <w:rsid w:val="00C66BAB"/>
    <w:rsid w:val="00C67004"/>
    <w:rsid w:val="00C71A74"/>
    <w:rsid w:val="00C819C2"/>
    <w:rsid w:val="00C86259"/>
    <w:rsid w:val="00C86966"/>
    <w:rsid w:val="00C86AE8"/>
    <w:rsid w:val="00C86BB4"/>
    <w:rsid w:val="00C87233"/>
    <w:rsid w:val="00C90236"/>
    <w:rsid w:val="00C9112F"/>
    <w:rsid w:val="00C92F9D"/>
    <w:rsid w:val="00C96965"/>
    <w:rsid w:val="00CA12E7"/>
    <w:rsid w:val="00CA1658"/>
    <w:rsid w:val="00CA376C"/>
    <w:rsid w:val="00CA7834"/>
    <w:rsid w:val="00CB45F2"/>
    <w:rsid w:val="00CB751A"/>
    <w:rsid w:val="00CB7FD8"/>
    <w:rsid w:val="00CC0495"/>
    <w:rsid w:val="00CC1945"/>
    <w:rsid w:val="00CD179A"/>
    <w:rsid w:val="00CD1DD9"/>
    <w:rsid w:val="00CD5DB1"/>
    <w:rsid w:val="00CD74C5"/>
    <w:rsid w:val="00CE0BC0"/>
    <w:rsid w:val="00CE2B72"/>
    <w:rsid w:val="00CE44EF"/>
    <w:rsid w:val="00CF0390"/>
    <w:rsid w:val="00CF22BC"/>
    <w:rsid w:val="00CF2AA3"/>
    <w:rsid w:val="00CF2FCD"/>
    <w:rsid w:val="00CF3B76"/>
    <w:rsid w:val="00D007E0"/>
    <w:rsid w:val="00D0233C"/>
    <w:rsid w:val="00D10F73"/>
    <w:rsid w:val="00D11E60"/>
    <w:rsid w:val="00D1322D"/>
    <w:rsid w:val="00D142DB"/>
    <w:rsid w:val="00D16096"/>
    <w:rsid w:val="00D20B18"/>
    <w:rsid w:val="00D22BFC"/>
    <w:rsid w:val="00D32ED6"/>
    <w:rsid w:val="00D32F97"/>
    <w:rsid w:val="00D34C61"/>
    <w:rsid w:val="00D3755C"/>
    <w:rsid w:val="00D37E5F"/>
    <w:rsid w:val="00D41D7A"/>
    <w:rsid w:val="00D42CB6"/>
    <w:rsid w:val="00D42EDF"/>
    <w:rsid w:val="00D43904"/>
    <w:rsid w:val="00D43B88"/>
    <w:rsid w:val="00D46969"/>
    <w:rsid w:val="00D469FB"/>
    <w:rsid w:val="00D46C1D"/>
    <w:rsid w:val="00D47E91"/>
    <w:rsid w:val="00D5432F"/>
    <w:rsid w:val="00D554A6"/>
    <w:rsid w:val="00D55FE6"/>
    <w:rsid w:val="00D620E4"/>
    <w:rsid w:val="00D6213D"/>
    <w:rsid w:val="00D6363D"/>
    <w:rsid w:val="00D65659"/>
    <w:rsid w:val="00D71C47"/>
    <w:rsid w:val="00D733D4"/>
    <w:rsid w:val="00D73414"/>
    <w:rsid w:val="00D77CDE"/>
    <w:rsid w:val="00D80A3B"/>
    <w:rsid w:val="00D82F03"/>
    <w:rsid w:val="00D83FBD"/>
    <w:rsid w:val="00D843B6"/>
    <w:rsid w:val="00D87C28"/>
    <w:rsid w:val="00D91874"/>
    <w:rsid w:val="00D94C7D"/>
    <w:rsid w:val="00D957E5"/>
    <w:rsid w:val="00D95FF4"/>
    <w:rsid w:val="00D96EED"/>
    <w:rsid w:val="00D97A1D"/>
    <w:rsid w:val="00DA101C"/>
    <w:rsid w:val="00DA199F"/>
    <w:rsid w:val="00DA1B32"/>
    <w:rsid w:val="00DA4AAF"/>
    <w:rsid w:val="00DA5B55"/>
    <w:rsid w:val="00DA6C88"/>
    <w:rsid w:val="00DA767C"/>
    <w:rsid w:val="00DB0458"/>
    <w:rsid w:val="00DB1B2A"/>
    <w:rsid w:val="00DB6882"/>
    <w:rsid w:val="00DB6B8F"/>
    <w:rsid w:val="00DB6FAC"/>
    <w:rsid w:val="00DC1043"/>
    <w:rsid w:val="00DC313C"/>
    <w:rsid w:val="00DC4EDA"/>
    <w:rsid w:val="00DC5D19"/>
    <w:rsid w:val="00DD252B"/>
    <w:rsid w:val="00DD26D2"/>
    <w:rsid w:val="00DD4D13"/>
    <w:rsid w:val="00DD5EA6"/>
    <w:rsid w:val="00DD7BDD"/>
    <w:rsid w:val="00DE2984"/>
    <w:rsid w:val="00DE3F92"/>
    <w:rsid w:val="00DE5272"/>
    <w:rsid w:val="00DE6223"/>
    <w:rsid w:val="00DE6ABC"/>
    <w:rsid w:val="00DF4946"/>
    <w:rsid w:val="00E00CE7"/>
    <w:rsid w:val="00E037E6"/>
    <w:rsid w:val="00E06453"/>
    <w:rsid w:val="00E07C3C"/>
    <w:rsid w:val="00E10096"/>
    <w:rsid w:val="00E13346"/>
    <w:rsid w:val="00E1645C"/>
    <w:rsid w:val="00E20FCD"/>
    <w:rsid w:val="00E23C4D"/>
    <w:rsid w:val="00E25425"/>
    <w:rsid w:val="00E26D12"/>
    <w:rsid w:val="00E33356"/>
    <w:rsid w:val="00E35DF7"/>
    <w:rsid w:val="00E37984"/>
    <w:rsid w:val="00E37F94"/>
    <w:rsid w:val="00E407ED"/>
    <w:rsid w:val="00E432FE"/>
    <w:rsid w:val="00E44570"/>
    <w:rsid w:val="00E540EB"/>
    <w:rsid w:val="00E55815"/>
    <w:rsid w:val="00E559F4"/>
    <w:rsid w:val="00E611CE"/>
    <w:rsid w:val="00E63BB5"/>
    <w:rsid w:val="00E66257"/>
    <w:rsid w:val="00E73B16"/>
    <w:rsid w:val="00E73CC4"/>
    <w:rsid w:val="00E74A14"/>
    <w:rsid w:val="00E75FB8"/>
    <w:rsid w:val="00E77C86"/>
    <w:rsid w:val="00E80155"/>
    <w:rsid w:val="00E81D60"/>
    <w:rsid w:val="00E949C5"/>
    <w:rsid w:val="00E958E2"/>
    <w:rsid w:val="00EA5D9F"/>
    <w:rsid w:val="00EB03EF"/>
    <w:rsid w:val="00EB10D1"/>
    <w:rsid w:val="00EB28BC"/>
    <w:rsid w:val="00EC02D0"/>
    <w:rsid w:val="00EC2CD4"/>
    <w:rsid w:val="00EC4223"/>
    <w:rsid w:val="00EC5EFC"/>
    <w:rsid w:val="00ED215D"/>
    <w:rsid w:val="00ED455A"/>
    <w:rsid w:val="00ED6AC2"/>
    <w:rsid w:val="00ED790A"/>
    <w:rsid w:val="00ED7B93"/>
    <w:rsid w:val="00EE325A"/>
    <w:rsid w:val="00EE45A4"/>
    <w:rsid w:val="00EF3033"/>
    <w:rsid w:val="00EF4C54"/>
    <w:rsid w:val="00EF7176"/>
    <w:rsid w:val="00EF7370"/>
    <w:rsid w:val="00EF793B"/>
    <w:rsid w:val="00F00283"/>
    <w:rsid w:val="00F00873"/>
    <w:rsid w:val="00F02822"/>
    <w:rsid w:val="00F03B26"/>
    <w:rsid w:val="00F11A92"/>
    <w:rsid w:val="00F13A44"/>
    <w:rsid w:val="00F25F79"/>
    <w:rsid w:val="00F26FAF"/>
    <w:rsid w:val="00F32873"/>
    <w:rsid w:val="00F33237"/>
    <w:rsid w:val="00F33A60"/>
    <w:rsid w:val="00F33CEA"/>
    <w:rsid w:val="00F3408B"/>
    <w:rsid w:val="00F34DBD"/>
    <w:rsid w:val="00F358D5"/>
    <w:rsid w:val="00F423FF"/>
    <w:rsid w:val="00F44C66"/>
    <w:rsid w:val="00F4510F"/>
    <w:rsid w:val="00F4565D"/>
    <w:rsid w:val="00F47B99"/>
    <w:rsid w:val="00F51E68"/>
    <w:rsid w:val="00F52700"/>
    <w:rsid w:val="00F557A2"/>
    <w:rsid w:val="00F57323"/>
    <w:rsid w:val="00F61805"/>
    <w:rsid w:val="00F67F08"/>
    <w:rsid w:val="00F70E3E"/>
    <w:rsid w:val="00F744EB"/>
    <w:rsid w:val="00F75A65"/>
    <w:rsid w:val="00F81A0A"/>
    <w:rsid w:val="00F83F74"/>
    <w:rsid w:val="00F84131"/>
    <w:rsid w:val="00F87FC3"/>
    <w:rsid w:val="00F9072D"/>
    <w:rsid w:val="00F90A9F"/>
    <w:rsid w:val="00F923D1"/>
    <w:rsid w:val="00F9774D"/>
    <w:rsid w:val="00FA099E"/>
    <w:rsid w:val="00FA5FFA"/>
    <w:rsid w:val="00FB02C1"/>
    <w:rsid w:val="00FB3C2A"/>
    <w:rsid w:val="00FB66DE"/>
    <w:rsid w:val="00FC359D"/>
    <w:rsid w:val="00FC3FFC"/>
    <w:rsid w:val="00FD210D"/>
    <w:rsid w:val="00FD3B2C"/>
    <w:rsid w:val="00FD61DA"/>
    <w:rsid w:val="00FE1009"/>
    <w:rsid w:val="00FF016C"/>
    <w:rsid w:val="00FF0DE6"/>
    <w:rsid w:val="00FF1F63"/>
    <w:rsid w:val="00FF3197"/>
    <w:rsid w:val="00FF3CAC"/>
    <w:rsid w:val="00FF4C78"/>
    <w:rsid w:val="00FF5923"/>
    <w:rsid w:val="01793DAD"/>
    <w:rsid w:val="019804ED"/>
    <w:rsid w:val="01C706CC"/>
    <w:rsid w:val="01FE0518"/>
    <w:rsid w:val="0268317E"/>
    <w:rsid w:val="027253EF"/>
    <w:rsid w:val="029C58B6"/>
    <w:rsid w:val="02DA6B30"/>
    <w:rsid w:val="03666D5E"/>
    <w:rsid w:val="036F670A"/>
    <w:rsid w:val="03883428"/>
    <w:rsid w:val="03E3586B"/>
    <w:rsid w:val="04554030"/>
    <w:rsid w:val="04F22B5F"/>
    <w:rsid w:val="05C37947"/>
    <w:rsid w:val="06804543"/>
    <w:rsid w:val="06D46CAF"/>
    <w:rsid w:val="0728038C"/>
    <w:rsid w:val="075C0E99"/>
    <w:rsid w:val="0799459D"/>
    <w:rsid w:val="08347E88"/>
    <w:rsid w:val="09432108"/>
    <w:rsid w:val="09CF203E"/>
    <w:rsid w:val="0A025EF1"/>
    <w:rsid w:val="0A371B4B"/>
    <w:rsid w:val="0A4C65EE"/>
    <w:rsid w:val="0C8F37FC"/>
    <w:rsid w:val="0CD11D43"/>
    <w:rsid w:val="0DD51E59"/>
    <w:rsid w:val="0E407379"/>
    <w:rsid w:val="0E900A19"/>
    <w:rsid w:val="0EB105B9"/>
    <w:rsid w:val="0F084EA2"/>
    <w:rsid w:val="0F3A05DA"/>
    <w:rsid w:val="0FDE295B"/>
    <w:rsid w:val="10471BB8"/>
    <w:rsid w:val="10D07A90"/>
    <w:rsid w:val="10EA40F9"/>
    <w:rsid w:val="11BB606A"/>
    <w:rsid w:val="11ED646C"/>
    <w:rsid w:val="13AE3DB2"/>
    <w:rsid w:val="13CA4C82"/>
    <w:rsid w:val="14D902B0"/>
    <w:rsid w:val="15DB790D"/>
    <w:rsid w:val="15DF6D01"/>
    <w:rsid w:val="15EF5F88"/>
    <w:rsid w:val="16C43158"/>
    <w:rsid w:val="173D248E"/>
    <w:rsid w:val="174E2FE7"/>
    <w:rsid w:val="17597AA1"/>
    <w:rsid w:val="196818C2"/>
    <w:rsid w:val="1B950097"/>
    <w:rsid w:val="1C345ADB"/>
    <w:rsid w:val="1C5204A2"/>
    <w:rsid w:val="1CAE6DB6"/>
    <w:rsid w:val="1D824DD0"/>
    <w:rsid w:val="1DD42165"/>
    <w:rsid w:val="1E0B01E2"/>
    <w:rsid w:val="1E380BA5"/>
    <w:rsid w:val="1E3F19A7"/>
    <w:rsid w:val="1E667194"/>
    <w:rsid w:val="1E6C5A75"/>
    <w:rsid w:val="1F0C105F"/>
    <w:rsid w:val="1F175E39"/>
    <w:rsid w:val="1FBA5FBC"/>
    <w:rsid w:val="202E243A"/>
    <w:rsid w:val="20A648EB"/>
    <w:rsid w:val="21330906"/>
    <w:rsid w:val="214B67E3"/>
    <w:rsid w:val="215E10BA"/>
    <w:rsid w:val="22C709E4"/>
    <w:rsid w:val="239A23F0"/>
    <w:rsid w:val="23AD525C"/>
    <w:rsid w:val="23BA152B"/>
    <w:rsid w:val="23E71478"/>
    <w:rsid w:val="23EA049A"/>
    <w:rsid w:val="246B5A10"/>
    <w:rsid w:val="25116A51"/>
    <w:rsid w:val="25701A1C"/>
    <w:rsid w:val="26010EE5"/>
    <w:rsid w:val="26405EFC"/>
    <w:rsid w:val="26876636"/>
    <w:rsid w:val="270E1C9F"/>
    <w:rsid w:val="27483620"/>
    <w:rsid w:val="282775FD"/>
    <w:rsid w:val="283D56D6"/>
    <w:rsid w:val="287874EF"/>
    <w:rsid w:val="28A8436E"/>
    <w:rsid w:val="28B169CE"/>
    <w:rsid w:val="28FA12C3"/>
    <w:rsid w:val="291417AA"/>
    <w:rsid w:val="29285A3C"/>
    <w:rsid w:val="293057E3"/>
    <w:rsid w:val="298D088B"/>
    <w:rsid w:val="29FC42AA"/>
    <w:rsid w:val="2A047B50"/>
    <w:rsid w:val="2A155FFC"/>
    <w:rsid w:val="2A433CBA"/>
    <w:rsid w:val="2A5C4259"/>
    <w:rsid w:val="2C8254F1"/>
    <w:rsid w:val="2CB307DA"/>
    <w:rsid w:val="2D1D439C"/>
    <w:rsid w:val="2D8929FD"/>
    <w:rsid w:val="2DAC322E"/>
    <w:rsid w:val="2DBC7C44"/>
    <w:rsid w:val="2DF80910"/>
    <w:rsid w:val="2EB87272"/>
    <w:rsid w:val="2ED80B50"/>
    <w:rsid w:val="2EF4401A"/>
    <w:rsid w:val="30053869"/>
    <w:rsid w:val="309158A4"/>
    <w:rsid w:val="31167755"/>
    <w:rsid w:val="31634208"/>
    <w:rsid w:val="31C0486E"/>
    <w:rsid w:val="31CE476D"/>
    <w:rsid w:val="322F6342"/>
    <w:rsid w:val="330A4FB3"/>
    <w:rsid w:val="3343123F"/>
    <w:rsid w:val="33FF2083"/>
    <w:rsid w:val="34C06600"/>
    <w:rsid w:val="34C91BEA"/>
    <w:rsid w:val="351B36D7"/>
    <w:rsid w:val="35642F2B"/>
    <w:rsid w:val="35667CF5"/>
    <w:rsid w:val="35E43FB3"/>
    <w:rsid w:val="360E25C3"/>
    <w:rsid w:val="36127B5A"/>
    <w:rsid w:val="3687772C"/>
    <w:rsid w:val="37D2172F"/>
    <w:rsid w:val="37F71BE3"/>
    <w:rsid w:val="38091FAC"/>
    <w:rsid w:val="382D7CC4"/>
    <w:rsid w:val="38361836"/>
    <w:rsid w:val="38AD6BFA"/>
    <w:rsid w:val="394A587A"/>
    <w:rsid w:val="39760A3B"/>
    <w:rsid w:val="39D2088E"/>
    <w:rsid w:val="3A273822"/>
    <w:rsid w:val="3A912273"/>
    <w:rsid w:val="3A9300FE"/>
    <w:rsid w:val="3AAD2DC2"/>
    <w:rsid w:val="3AB60BA3"/>
    <w:rsid w:val="3B1F113D"/>
    <w:rsid w:val="3BE23008"/>
    <w:rsid w:val="3BEA795F"/>
    <w:rsid w:val="3C58254D"/>
    <w:rsid w:val="3C9434F9"/>
    <w:rsid w:val="3CCD7C3E"/>
    <w:rsid w:val="3D232155"/>
    <w:rsid w:val="3D78779E"/>
    <w:rsid w:val="3E0D21CB"/>
    <w:rsid w:val="3EAA67B9"/>
    <w:rsid w:val="3EB92B1B"/>
    <w:rsid w:val="3EEA5970"/>
    <w:rsid w:val="3F7A1218"/>
    <w:rsid w:val="40467944"/>
    <w:rsid w:val="40791492"/>
    <w:rsid w:val="40CC0164"/>
    <w:rsid w:val="40CF6F7B"/>
    <w:rsid w:val="419371B3"/>
    <w:rsid w:val="419C406E"/>
    <w:rsid w:val="420D2458"/>
    <w:rsid w:val="4210199D"/>
    <w:rsid w:val="42130554"/>
    <w:rsid w:val="423B0120"/>
    <w:rsid w:val="43177A27"/>
    <w:rsid w:val="44004A27"/>
    <w:rsid w:val="443111AD"/>
    <w:rsid w:val="44861A31"/>
    <w:rsid w:val="44CB5A90"/>
    <w:rsid w:val="45893DCD"/>
    <w:rsid w:val="460F32C6"/>
    <w:rsid w:val="4672477A"/>
    <w:rsid w:val="46B64DEC"/>
    <w:rsid w:val="47B273D7"/>
    <w:rsid w:val="47E45630"/>
    <w:rsid w:val="482065A7"/>
    <w:rsid w:val="48F2093E"/>
    <w:rsid w:val="49043E11"/>
    <w:rsid w:val="495B4647"/>
    <w:rsid w:val="49663013"/>
    <w:rsid w:val="4A5016A7"/>
    <w:rsid w:val="4A563F30"/>
    <w:rsid w:val="4AAC4873"/>
    <w:rsid w:val="4B326E38"/>
    <w:rsid w:val="4BD25BCF"/>
    <w:rsid w:val="4BE70E36"/>
    <w:rsid w:val="4BEC5673"/>
    <w:rsid w:val="4D696308"/>
    <w:rsid w:val="4D8F38C1"/>
    <w:rsid w:val="4F34652E"/>
    <w:rsid w:val="4F4C60A7"/>
    <w:rsid w:val="509518D1"/>
    <w:rsid w:val="50B83A38"/>
    <w:rsid w:val="511149E5"/>
    <w:rsid w:val="51EA47B1"/>
    <w:rsid w:val="52101906"/>
    <w:rsid w:val="529F4896"/>
    <w:rsid w:val="52A807CB"/>
    <w:rsid w:val="52C96DFA"/>
    <w:rsid w:val="531A433C"/>
    <w:rsid w:val="53DF14EE"/>
    <w:rsid w:val="548E5E3C"/>
    <w:rsid w:val="555B191B"/>
    <w:rsid w:val="556B7609"/>
    <w:rsid w:val="55CE2A60"/>
    <w:rsid w:val="561F42F2"/>
    <w:rsid w:val="567031F2"/>
    <w:rsid w:val="56851100"/>
    <w:rsid w:val="56CA6913"/>
    <w:rsid w:val="57607983"/>
    <w:rsid w:val="583E0470"/>
    <w:rsid w:val="587F6689"/>
    <w:rsid w:val="59B404CB"/>
    <w:rsid w:val="5A78448A"/>
    <w:rsid w:val="5B2F6989"/>
    <w:rsid w:val="5B4C37FA"/>
    <w:rsid w:val="5CB9049B"/>
    <w:rsid w:val="5CF67850"/>
    <w:rsid w:val="5D652A19"/>
    <w:rsid w:val="5DD30D9C"/>
    <w:rsid w:val="601529F5"/>
    <w:rsid w:val="601A0B5F"/>
    <w:rsid w:val="60812C72"/>
    <w:rsid w:val="60F557D4"/>
    <w:rsid w:val="61033A95"/>
    <w:rsid w:val="626174AD"/>
    <w:rsid w:val="62DB04D9"/>
    <w:rsid w:val="65000203"/>
    <w:rsid w:val="650074B9"/>
    <w:rsid w:val="65B04CF8"/>
    <w:rsid w:val="66161881"/>
    <w:rsid w:val="663D7A69"/>
    <w:rsid w:val="66787ED0"/>
    <w:rsid w:val="67535261"/>
    <w:rsid w:val="680725DC"/>
    <w:rsid w:val="68254ED1"/>
    <w:rsid w:val="68352BB8"/>
    <w:rsid w:val="68914633"/>
    <w:rsid w:val="68F03502"/>
    <w:rsid w:val="698C4A5A"/>
    <w:rsid w:val="69A23506"/>
    <w:rsid w:val="69AE07E1"/>
    <w:rsid w:val="69DD2EC5"/>
    <w:rsid w:val="6B5259ED"/>
    <w:rsid w:val="6BD44434"/>
    <w:rsid w:val="6C4A2D0E"/>
    <w:rsid w:val="6C681F46"/>
    <w:rsid w:val="6D010200"/>
    <w:rsid w:val="6D536627"/>
    <w:rsid w:val="6EAC2C67"/>
    <w:rsid w:val="6F786746"/>
    <w:rsid w:val="6F8E3888"/>
    <w:rsid w:val="70297CC5"/>
    <w:rsid w:val="70931BC8"/>
    <w:rsid w:val="70D4310C"/>
    <w:rsid w:val="71524ECA"/>
    <w:rsid w:val="71F477C8"/>
    <w:rsid w:val="724F57DE"/>
    <w:rsid w:val="730D61E7"/>
    <w:rsid w:val="73373012"/>
    <w:rsid w:val="73B90A36"/>
    <w:rsid w:val="74B175D3"/>
    <w:rsid w:val="74CF4C39"/>
    <w:rsid w:val="74DC7EEA"/>
    <w:rsid w:val="74FC1546"/>
    <w:rsid w:val="75061712"/>
    <w:rsid w:val="75701F55"/>
    <w:rsid w:val="759F5239"/>
    <w:rsid w:val="76004806"/>
    <w:rsid w:val="769417AF"/>
    <w:rsid w:val="77236960"/>
    <w:rsid w:val="774C603E"/>
    <w:rsid w:val="77A214FA"/>
    <w:rsid w:val="77B3413A"/>
    <w:rsid w:val="782A33D8"/>
    <w:rsid w:val="78725425"/>
    <w:rsid w:val="78C14C6E"/>
    <w:rsid w:val="78E169BC"/>
    <w:rsid w:val="79987912"/>
    <w:rsid w:val="79BC0FB1"/>
    <w:rsid w:val="79F86788"/>
    <w:rsid w:val="7A470116"/>
    <w:rsid w:val="7A732CA7"/>
    <w:rsid w:val="7B010127"/>
    <w:rsid w:val="7B1F3B06"/>
    <w:rsid w:val="7B2A23DD"/>
    <w:rsid w:val="7B8251F7"/>
    <w:rsid w:val="7BB77C1C"/>
    <w:rsid w:val="7BB852F8"/>
    <w:rsid w:val="7BE909F0"/>
    <w:rsid w:val="7C2921D2"/>
    <w:rsid w:val="7C6857CE"/>
    <w:rsid w:val="7D7C1F19"/>
    <w:rsid w:val="7D925BC4"/>
    <w:rsid w:val="7DB65A76"/>
    <w:rsid w:val="7E3F59D0"/>
    <w:rsid w:val="7E694101"/>
    <w:rsid w:val="7E721C11"/>
    <w:rsid w:val="7EB65B3E"/>
    <w:rsid w:val="7F911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黑体"/>
      <w:kern w:val="2"/>
      <w:sz w:val="28"/>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rFonts w:ascii="宋体" w:hAnsi="宋体"/>
      <w:b/>
      <w:bCs/>
      <w:sz w:val="30"/>
      <w:szCs w:val="28"/>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28"/>
    <w:unhideWhenUsed/>
    <w:qFormat/>
    <w:uiPriority w:val="9"/>
    <w:pPr>
      <w:keepNext/>
      <w:keepLines/>
      <w:spacing w:before="280" w:after="290" w:line="376" w:lineRule="auto"/>
      <w:outlineLvl w:val="4"/>
    </w:pPr>
    <w:rPr>
      <w:b/>
      <w:bCs/>
      <w:szCs w:val="28"/>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31"/>
    <w:semiHidden/>
    <w:unhideWhenUsed/>
    <w:qFormat/>
    <w:uiPriority w:val="99"/>
    <w:rPr>
      <w:rFonts w:ascii="宋体" w:eastAsia="宋体"/>
      <w:sz w:val="18"/>
      <w:szCs w:val="18"/>
    </w:rPr>
  </w:style>
  <w:style w:type="paragraph" w:styleId="8">
    <w:name w:val="annotation text"/>
    <w:basedOn w:val="1"/>
    <w:link w:val="38"/>
    <w:semiHidden/>
    <w:unhideWhenUsed/>
    <w:qFormat/>
    <w:uiPriority w:val="99"/>
    <w:pPr>
      <w:jc w:val="left"/>
    </w:pPr>
  </w:style>
  <w:style w:type="paragraph" w:styleId="9">
    <w:name w:val="toc 3"/>
    <w:basedOn w:val="1"/>
    <w:next w:val="1"/>
    <w:unhideWhenUsed/>
    <w:qFormat/>
    <w:uiPriority w:val="39"/>
    <w:pPr>
      <w:tabs>
        <w:tab w:val="left" w:pos="1680"/>
        <w:tab w:val="right" w:leader="dot" w:pos="8296"/>
      </w:tabs>
      <w:ind w:left="200" w:leftChars="200"/>
      <w:jc w:val="left"/>
    </w:pPr>
    <w:rPr>
      <w:rFonts w:eastAsia="宋体"/>
    </w:rPr>
  </w:style>
  <w:style w:type="paragraph" w:styleId="10">
    <w:name w:val="Balloon Text"/>
    <w:basedOn w:val="1"/>
    <w:link w:val="30"/>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eastAsia="宋体"/>
      <w:b/>
      <w:sz w:val="24"/>
    </w:rPr>
  </w:style>
  <w:style w:type="paragraph" w:styleId="14">
    <w:name w:val="toc 2"/>
    <w:basedOn w:val="1"/>
    <w:next w:val="1"/>
    <w:unhideWhenUsed/>
    <w:qFormat/>
    <w:uiPriority w:val="39"/>
    <w:pPr>
      <w:ind w:left="100" w:leftChars="100"/>
    </w:pPr>
    <w:rPr>
      <w:rFonts w:eastAsia="宋体"/>
    </w:rPr>
  </w:style>
  <w:style w:type="paragraph" w:styleId="15">
    <w:name w:val="annotation subject"/>
    <w:basedOn w:val="8"/>
    <w:next w:val="8"/>
    <w:link w:val="39"/>
    <w:semiHidden/>
    <w:unhideWhenUsed/>
    <w:qFormat/>
    <w:uiPriority w:val="99"/>
    <w:rPr>
      <w:b/>
      <w:bCs/>
    </w:rPr>
  </w:style>
  <w:style w:type="character" w:styleId="18">
    <w:name w:val="FollowedHyperlink"/>
    <w:basedOn w:val="17"/>
    <w:semiHidden/>
    <w:unhideWhenUsed/>
    <w:qFormat/>
    <w:uiPriority w:val="99"/>
    <w:rPr>
      <w:color w:val="800080"/>
      <w:u w:val="single"/>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页眉 字符"/>
    <w:basedOn w:val="17"/>
    <w:link w:val="12"/>
    <w:qFormat/>
    <w:uiPriority w:val="99"/>
    <w:rPr>
      <w:sz w:val="18"/>
      <w:szCs w:val="18"/>
    </w:rPr>
  </w:style>
  <w:style w:type="character" w:customStyle="1" w:styleId="22">
    <w:name w:val="页脚 字符"/>
    <w:basedOn w:val="17"/>
    <w:link w:val="11"/>
    <w:qFormat/>
    <w:uiPriority w:val="99"/>
    <w:rPr>
      <w:sz w:val="18"/>
      <w:szCs w:val="18"/>
    </w:rPr>
  </w:style>
  <w:style w:type="character" w:customStyle="1" w:styleId="23">
    <w:name w:val="标题 1 字符"/>
    <w:basedOn w:val="17"/>
    <w:link w:val="2"/>
    <w:qFormat/>
    <w:uiPriority w:val="9"/>
    <w:rPr>
      <w:rFonts w:ascii="Calibri" w:hAnsi="Calibri" w:eastAsia="仿宋" w:cs="黑体"/>
      <w:b/>
      <w:bCs/>
      <w:kern w:val="44"/>
      <w:sz w:val="44"/>
      <w:szCs w:val="44"/>
    </w:rPr>
  </w:style>
  <w:style w:type="paragraph" w:styleId="24">
    <w:name w:val="List Paragraph"/>
    <w:basedOn w:val="1"/>
    <w:qFormat/>
    <w:uiPriority w:val="34"/>
    <w:pPr>
      <w:ind w:firstLine="420" w:firstLineChars="200"/>
    </w:pPr>
  </w:style>
  <w:style w:type="character" w:customStyle="1" w:styleId="25">
    <w:name w:val="标题 2 字符"/>
    <w:basedOn w:val="17"/>
    <w:link w:val="3"/>
    <w:qFormat/>
    <w:uiPriority w:val="9"/>
    <w:rPr>
      <w:rFonts w:eastAsia="仿宋" w:asciiTheme="majorHAnsi" w:hAnsiTheme="majorHAnsi" w:cstheme="majorBidi"/>
      <w:b/>
      <w:bCs/>
      <w:sz w:val="32"/>
      <w:szCs w:val="32"/>
    </w:rPr>
  </w:style>
  <w:style w:type="character" w:customStyle="1" w:styleId="26">
    <w:name w:val="标题 3 字符"/>
    <w:basedOn w:val="17"/>
    <w:link w:val="4"/>
    <w:qFormat/>
    <w:uiPriority w:val="9"/>
    <w:rPr>
      <w:rFonts w:ascii="宋体" w:hAnsi="宋体" w:eastAsia="仿宋"/>
      <w:b/>
      <w:bCs/>
      <w:sz w:val="30"/>
      <w:szCs w:val="28"/>
    </w:rPr>
  </w:style>
  <w:style w:type="character" w:customStyle="1" w:styleId="27">
    <w:name w:val="标题 4 字符"/>
    <w:basedOn w:val="17"/>
    <w:link w:val="5"/>
    <w:qFormat/>
    <w:uiPriority w:val="9"/>
    <w:rPr>
      <w:rFonts w:asciiTheme="majorHAnsi" w:hAnsiTheme="majorHAnsi" w:eastAsiaTheme="majorEastAsia" w:cstheme="majorBidi"/>
      <w:b/>
      <w:bCs/>
      <w:sz w:val="28"/>
      <w:szCs w:val="28"/>
    </w:rPr>
  </w:style>
  <w:style w:type="character" w:customStyle="1" w:styleId="28">
    <w:name w:val="标题 5 字符"/>
    <w:basedOn w:val="17"/>
    <w:link w:val="6"/>
    <w:qFormat/>
    <w:uiPriority w:val="9"/>
    <w:rPr>
      <w:b/>
      <w:bCs/>
      <w:szCs w:val="28"/>
    </w:rPr>
  </w:style>
  <w:style w:type="paragraph" w:customStyle="1" w:styleId="2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30">
    <w:name w:val="批注框文本 字符"/>
    <w:basedOn w:val="17"/>
    <w:link w:val="10"/>
    <w:semiHidden/>
    <w:qFormat/>
    <w:uiPriority w:val="99"/>
    <w:rPr>
      <w:kern w:val="2"/>
      <w:sz w:val="18"/>
      <w:szCs w:val="18"/>
    </w:rPr>
  </w:style>
  <w:style w:type="character" w:customStyle="1" w:styleId="31">
    <w:name w:val="文档结构图 字符"/>
    <w:basedOn w:val="17"/>
    <w:link w:val="7"/>
    <w:semiHidden/>
    <w:qFormat/>
    <w:uiPriority w:val="99"/>
    <w:rPr>
      <w:rFonts w:ascii="宋体" w:eastAsia="宋体"/>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6">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8">
    <w:name w:val="批注文字 字符"/>
    <w:basedOn w:val="17"/>
    <w:link w:val="8"/>
    <w:semiHidden/>
    <w:qFormat/>
    <w:uiPriority w:val="99"/>
    <w:rPr>
      <w:rFonts w:ascii="Calibri" w:hAnsi="Calibri" w:eastAsia="仿宋" w:cs="黑体"/>
      <w:kern w:val="2"/>
      <w:sz w:val="28"/>
      <w:szCs w:val="22"/>
    </w:rPr>
  </w:style>
  <w:style w:type="character" w:customStyle="1" w:styleId="39">
    <w:name w:val="批注主题 字符"/>
    <w:basedOn w:val="38"/>
    <w:link w:val="15"/>
    <w:semiHidden/>
    <w:qFormat/>
    <w:uiPriority w:val="99"/>
    <w:rPr>
      <w:rFonts w:ascii="Calibri" w:hAnsi="Calibri" w:eastAsia="仿宋" w:cs="黑体"/>
      <w:b/>
      <w:bCs/>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emf"/><Relationship Id="rId44" Type="http://schemas.openxmlformats.org/officeDocument/2006/relationships/package" Target="embeddings/Workbook1.xlsx"/><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DCBFED-0B25-4488-8B8F-42435DD4585E}">
  <ds:schemaRefs/>
</ds:datastoreItem>
</file>

<file path=docProps/app.xml><?xml version="1.0" encoding="utf-8"?>
<Properties xmlns="http://schemas.openxmlformats.org/officeDocument/2006/extended-properties" xmlns:vt="http://schemas.openxmlformats.org/officeDocument/2006/docPropsVTypes">
  <Template>Normal.dotm</Template>
  <Company>boss</Company>
  <Pages>32</Pages>
  <Words>4653</Words>
  <Characters>4946</Characters>
  <Lines>51</Lines>
  <Paragraphs>14</Paragraphs>
  <TotalTime>0</TotalTime>
  <ScaleCrop>false</ScaleCrop>
  <LinksUpToDate>false</LinksUpToDate>
  <CharactersWithSpaces>5326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2021-10-15T08:09:00Z</dcterms:created>
  <dc:creator>江敏</dc:creator>
  <cp:lastModifiedBy>张娟萌</cp:lastModifiedBy>
  <dcterms:modified xsi:type="dcterms:W3CDTF">2023-08-08T01:41:20Z</dcterms:modified>
  <cp:revision>282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3F24B7C1D00A429C9D2AF935733022FA_12</vt:lpwstr>
  </property>
</Properties>
</file>